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C58C56">
      <w:pPr>
        <w:spacing w:line="520" w:lineRule="exact"/>
        <w:ind w:firstLine="420" w:firstLineChars="200"/>
      </w:pPr>
    </w:p>
    <w:p w14:paraId="53DABACB">
      <w:pPr>
        <w:spacing w:line="520" w:lineRule="exact"/>
        <w:ind w:firstLine="420" w:firstLineChars="200"/>
      </w:pPr>
    </w:p>
    <w:p w14:paraId="07179FCB">
      <w:pPr>
        <w:jc w:val="center"/>
        <w:rPr>
          <w:rStyle w:val="24"/>
        </w:rPr>
      </w:pPr>
      <w:r>
        <w:rPr>
          <w:rStyle w:val="24"/>
          <w:rFonts w:hint="eastAsia" w:cs="楷体_GB2312"/>
        </w:rPr>
        <w:t>国家开放大学</w:t>
      </w:r>
    </w:p>
    <w:p w14:paraId="06C80DE3">
      <w:pPr>
        <w:jc w:val="center"/>
        <w:rPr>
          <w:rStyle w:val="25"/>
        </w:rPr>
      </w:pPr>
    </w:p>
    <w:p w14:paraId="7CF2B745">
      <w:pPr>
        <w:jc w:val="center"/>
        <w:rPr>
          <w:rStyle w:val="25"/>
          <w:sz w:val="52"/>
          <w:szCs w:val="52"/>
        </w:rPr>
      </w:pPr>
      <w:r>
        <w:rPr>
          <w:rStyle w:val="25"/>
          <w:rFonts w:hint="eastAsia" w:cs="宋体"/>
          <w:sz w:val="52"/>
          <w:szCs w:val="52"/>
        </w:rPr>
        <w:t xml:space="preserve">论 </w:t>
      </w:r>
      <w:r>
        <w:rPr>
          <w:rStyle w:val="25"/>
          <w:rFonts w:cs="宋体"/>
          <w:sz w:val="52"/>
          <w:szCs w:val="52"/>
        </w:rPr>
        <w:t xml:space="preserve"> </w:t>
      </w:r>
      <w:r>
        <w:rPr>
          <w:rStyle w:val="25"/>
          <w:rFonts w:hint="eastAsia" w:cs="宋体"/>
          <w:sz w:val="52"/>
          <w:szCs w:val="52"/>
        </w:rPr>
        <w:t>文</w:t>
      </w:r>
    </w:p>
    <w:p w14:paraId="237779AA">
      <w:pPr>
        <w:jc w:val="center"/>
        <w:rPr>
          <w:rStyle w:val="25"/>
        </w:rPr>
      </w:pPr>
    </w:p>
    <w:p w14:paraId="76EFFE4C">
      <w:pPr>
        <w:ind w:firstLine="560"/>
        <w:rPr>
          <w:sz w:val="28"/>
          <w:szCs w:val="28"/>
        </w:rPr>
      </w:pPr>
      <w:r>
        <w:rPr>
          <w:rFonts w:hint="eastAsia" w:cs="宋体"/>
          <w:sz w:val="28"/>
          <w:szCs w:val="28"/>
        </w:rPr>
        <w:t>题目：浅谈解热镇痛类药物合理使用</w:t>
      </w:r>
    </w:p>
    <w:p w14:paraId="384E4E6E">
      <w:pPr>
        <w:jc w:val="center"/>
        <w:rPr>
          <w:rStyle w:val="25"/>
        </w:rPr>
      </w:pPr>
    </w:p>
    <w:p w14:paraId="6F63076E">
      <w:pPr>
        <w:jc w:val="center"/>
        <w:rPr>
          <w:rStyle w:val="26"/>
        </w:rPr>
      </w:pPr>
    </w:p>
    <w:p w14:paraId="3CCAE215">
      <w:pPr>
        <w:jc w:val="center"/>
        <w:rPr>
          <w:rStyle w:val="26"/>
        </w:rPr>
      </w:pPr>
    </w:p>
    <w:p w14:paraId="785BD0C0">
      <w:pPr>
        <w:spacing w:before="200" w:line="360" w:lineRule="exact"/>
        <w:ind w:firstLine="2158" w:firstLineChars="771"/>
        <w:rPr>
          <w:rFonts w:hint="eastAsia" w:cs="宋体"/>
          <w:sz w:val="28"/>
          <w:szCs w:val="28"/>
        </w:rPr>
      </w:pPr>
      <w:r>
        <w:rPr>
          <w:rFonts w:hint="eastAsia" w:cs="宋体"/>
          <w:sz w:val="28"/>
          <w:szCs w:val="28"/>
        </w:rPr>
        <w:t>分    部：</w:t>
      </w:r>
    </w:p>
    <w:p w14:paraId="08764FF3">
      <w:pPr>
        <w:spacing w:before="200" w:line="360" w:lineRule="exact"/>
        <w:ind w:firstLine="2158" w:firstLineChars="771"/>
        <w:rPr>
          <w:sz w:val="28"/>
          <w:szCs w:val="28"/>
        </w:rPr>
      </w:pPr>
      <w:r>
        <w:rPr>
          <w:rFonts w:hint="eastAsia" w:cs="宋体"/>
          <w:sz w:val="28"/>
          <w:szCs w:val="28"/>
        </w:rPr>
        <w:t>学习中心：</w:t>
      </w:r>
    </w:p>
    <w:p w14:paraId="32F70139">
      <w:pPr>
        <w:spacing w:before="200" w:line="360" w:lineRule="exact"/>
        <w:ind w:firstLine="2125" w:firstLineChars="759"/>
        <w:rPr>
          <w:rFonts w:hint="eastAsia" w:cs="宋体"/>
          <w:sz w:val="28"/>
          <w:szCs w:val="28"/>
        </w:rPr>
      </w:pPr>
      <w:r>
        <w:rPr>
          <w:rFonts w:hint="eastAsia" w:cs="宋体"/>
          <w:sz w:val="28"/>
          <w:szCs w:val="28"/>
        </w:rPr>
        <w:t>专    业：</w:t>
      </w:r>
    </w:p>
    <w:p w14:paraId="4678F715">
      <w:pPr>
        <w:spacing w:before="200" w:line="360" w:lineRule="exact"/>
        <w:ind w:firstLine="2125" w:firstLineChars="759"/>
        <w:rPr>
          <w:sz w:val="28"/>
          <w:szCs w:val="28"/>
        </w:rPr>
      </w:pPr>
      <w:r>
        <w:rPr>
          <w:rFonts w:hint="eastAsia" w:cs="宋体"/>
          <w:sz w:val="28"/>
          <w:szCs w:val="28"/>
        </w:rPr>
        <w:t>入学时间：</w:t>
      </w:r>
      <w:r>
        <w:rPr>
          <w:sz w:val="28"/>
          <w:szCs w:val="28"/>
        </w:rPr>
        <w:t xml:space="preserve"> </w:t>
      </w:r>
    </w:p>
    <w:p w14:paraId="492CCDBE">
      <w:pPr>
        <w:spacing w:before="200" w:line="360" w:lineRule="exact"/>
        <w:ind w:firstLine="2125" w:firstLineChars="759"/>
        <w:rPr>
          <w:sz w:val="28"/>
          <w:szCs w:val="28"/>
        </w:rPr>
      </w:pPr>
      <w:r>
        <w:rPr>
          <w:rFonts w:hint="eastAsia" w:cs="宋体"/>
          <w:sz w:val="28"/>
          <w:szCs w:val="28"/>
        </w:rPr>
        <w:t>学    号：</w:t>
      </w:r>
    </w:p>
    <w:p w14:paraId="4523FE8B">
      <w:pPr>
        <w:spacing w:before="200" w:line="360" w:lineRule="exact"/>
        <w:ind w:firstLine="2125" w:firstLineChars="759"/>
        <w:rPr>
          <w:sz w:val="28"/>
          <w:szCs w:val="28"/>
        </w:rPr>
      </w:pPr>
      <w:r>
        <w:rPr>
          <w:rFonts w:hint="eastAsia" w:cs="宋体"/>
          <w:sz w:val="28"/>
          <w:szCs w:val="28"/>
        </w:rPr>
        <w:t>姓    名：</w:t>
      </w:r>
    </w:p>
    <w:p w14:paraId="7E80E425">
      <w:pPr>
        <w:spacing w:before="200" w:line="360" w:lineRule="exact"/>
        <w:ind w:firstLine="2125" w:firstLineChars="759"/>
        <w:rPr>
          <w:sz w:val="28"/>
          <w:szCs w:val="28"/>
        </w:rPr>
      </w:pPr>
      <w:r>
        <w:rPr>
          <w:rFonts w:hint="eastAsia" w:cs="宋体"/>
          <w:sz w:val="28"/>
          <w:szCs w:val="28"/>
        </w:rPr>
        <w:t>指导教师：</w:t>
      </w:r>
    </w:p>
    <w:p w14:paraId="4EB5230E">
      <w:pPr>
        <w:spacing w:before="200"/>
        <w:ind w:firstLine="2125" w:firstLineChars="759"/>
        <w:rPr>
          <w:sz w:val="28"/>
          <w:szCs w:val="28"/>
        </w:rPr>
      </w:pPr>
    </w:p>
    <w:p w14:paraId="696695B4">
      <w:pPr>
        <w:spacing w:before="200"/>
        <w:ind w:firstLine="2125" w:firstLineChars="759"/>
        <w:rPr>
          <w:sz w:val="28"/>
          <w:szCs w:val="28"/>
        </w:rPr>
      </w:pPr>
    </w:p>
    <w:p w14:paraId="13E4FA50"/>
    <w:p w14:paraId="429BE41F">
      <w:pPr>
        <w:jc w:val="center"/>
        <w:rPr>
          <w:rFonts w:cs="黑体"/>
          <w:sz w:val="36"/>
          <w:szCs w:val="36"/>
        </w:rPr>
      </w:pPr>
      <w:r>
        <w:rPr>
          <w:rFonts w:hint="eastAsia" w:cs="宋体"/>
          <w:sz w:val="28"/>
          <w:szCs w:val="28"/>
        </w:rPr>
        <w:t>论文完成日期</w:t>
      </w:r>
      <w:r>
        <w:rPr>
          <w:sz w:val="28"/>
          <w:szCs w:val="28"/>
        </w:rPr>
        <w:t xml:space="preserve">:  </w:t>
      </w:r>
      <w:r>
        <w:rPr>
          <w:rFonts w:hint="eastAsia" w:cs="宋体"/>
          <w:sz w:val="28"/>
          <w:szCs w:val="28"/>
        </w:rPr>
        <w:t>年</w:t>
      </w:r>
      <w:r>
        <w:rPr>
          <w:sz w:val="28"/>
          <w:szCs w:val="28"/>
        </w:rPr>
        <w:t xml:space="preserve"> </w:t>
      </w:r>
      <w:r>
        <w:rPr>
          <w:rFonts w:hint="eastAsia" w:cs="宋体"/>
          <w:sz w:val="28"/>
          <w:szCs w:val="28"/>
        </w:rPr>
        <w:t>月</w:t>
      </w:r>
      <w:bookmarkStart w:id="0" w:name="封2"/>
      <w:bookmarkEnd w:id="0"/>
    </w:p>
    <w:p w14:paraId="194A85C3">
      <w:pPr>
        <w:pStyle w:val="28"/>
        <w:spacing w:after="480"/>
        <w:rPr>
          <w:rFonts w:hint="eastAsia" w:cs="黑体"/>
          <w:sz w:val="36"/>
          <w:szCs w:val="36"/>
        </w:rPr>
        <w:sectPr>
          <w:pgSz w:w="11906" w:h="16838"/>
          <w:pgMar w:top="1440" w:right="1800" w:bottom="1440" w:left="1800" w:header="851" w:footer="992" w:gutter="0"/>
          <w:cols w:space="425" w:num="1"/>
          <w:docGrid w:type="lines" w:linePitch="312" w:charSpace="0"/>
        </w:sectPr>
      </w:pPr>
    </w:p>
    <w:p w14:paraId="2169392E">
      <w:pPr>
        <w:pStyle w:val="28"/>
        <w:keepNext w:val="0"/>
        <w:keepLines w:val="0"/>
        <w:pageBreakBefore w:val="0"/>
        <w:widowControl w:val="0"/>
        <w:kinsoku/>
        <w:wordWrap/>
        <w:overflowPunct/>
        <w:topLinePunct w:val="0"/>
        <w:autoSpaceDE/>
        <w:autoSpaceDN/>
        <w:bidi w:val="0"/>
        <w:adjustRightInd w:val="0"/>
        <w:snapToGrid w:val="0"/>
        <w:spacing w:after="480"/>
        <w:textAlignment w:val="auto"/>
        <w:outlineLvl w:val="0"/>
        <w:rPr>
          <w:rFonts w:ascii="黑体"/>
          <w:b/>
          <w:bCs/>
          <w:sz w:val="36"/>
          <w:szCs w:val="36"/>
        </w:rPr>
      </w:pPr>
      <w:bookmarkStart w:id="1" w:name="_Toc3918"/>
      <w:bookmarkStart w:id="2" w:name="_Toc343607698"/>
      <w:bookmarkStart w:id="3" w:name="_Toc145592711"/>
      <w:bookmarkStart w:id="4" w:name="_Toc343607700"/>
      <w:r>
        <w:rPr>
          <w:rFonts w:hint="eastAsia" w:ascii="黑体" w:hAnsi="黑体" w:cs="黑体"/>
          <w:b/>
          <w:bCs/>
          <w:sz w:val="36"/>
          <w:szCs w:val="36"/>
        </w:rPr>
        <w:t>摘</w:t>
      </w:r>
      <w:r>
        <w:rPr>
          <w:rFonts w:ascii="黑体" w:hAnsi="黑体" w:cs="黑体"/>
          <w:b/>
          <w:bCs/>
          <w:sz w:val="36"/>
          <w:szCs w:val="36"/>
        </w:rPr>
        <w:t xml:space="preserve">   </w:t>
      </w:r>
      <w:r>
        <w:rPr>
          <w:rFonts w:hint="eastAsia" w:ascii="黑体" w:hAnsi="黑体" w:cs="黑体"/>
          <w:b/>
          <w:bCs/>
          <w:sz w:val="36"/>
          <w:szCs w:val="36"/>
        </w:rPr>
        <w:t>要</w:t>
      </w:r>
      <w:bookmarkEnd w:id="1"/>
    </w:p>
    <w:bookmarkEnd w:id="2"/>
    <w:bookmarkEnd w:id="3"/>
    <w:p w14:paraId="0AA87BED">
      <w:pPr>
        <w:spacing w:line="360" w:lineRule="auto"/>
        <w:ind w:firstLine="560" w:firstLineChars="200"/>
        <w:jc w:val="left"/>
        <w:rPr>
          <w:rFonts w:hint="eastAsia" w:ascii="宋体" w:hAnsi="宋体" w:cs="宋体"/>
          <w:sz w:val="28"/>
          <w:szCs w:val="28"/>
        </w:rPr>
      </w:pPr>
      <w:bookmarkStart w:id="64" w:name="_GoBack"/>
      <w:r>
        <w:rPr>
          <w:rFonts w:hint="eastAsia" w:ascii="宋体" w:hAnsi="宋体" w:cs="宋体"/>
          <w:sz w:val="28"/>
          <w:szCs w:val="28"/>
          <w:lang w:val="en-US" w:eastAsia="zh-CN"/>
        </w:rPr>
        <w:t>本文详细讨论了解热镇痛药的分类、特点、作用机制、毒副作用及合理应用原则。解热镇痛药主要分为水杨酸类、乙酰苯胺类、吡唑酮类、苯酰胺衍生物、芳基（吲哚）乙酸类和尼美舒利六大类，每类都有其独特的药效特点。这些药物通过不同的机制发挥解热和镇痛作用，但同时也伴随着一定的毒副作用，如胃肠道不适和血液系统影响。为了确保用药的安全性和有效性，必须遵循合理的应用原则，包括注意药物的不良反应、严格控制用药剂量和疗程、根据病症选择适当的药物，并警惕交叉过敏现象。本文旨在为临床用药提供科学指导，保障患者用药安全。</w:t>
      </w:r>
    </w:p>
    <w:bookmarkEnd w:id="64"/>
    <w:p w14:paraId="619536AB">
      <w:pPr>
        <w:spacing w:line="360" w:lineRule="auto"/>
        <w:ind w:firstLine="560" w:firstLineChars="200"/>
        <w:rPr>
          <w:rFonts w:hint="eastAsia" w:ascii="宋体" w:hAnsi="宋体" w:cs="宋体"/>
          <w:sz w:val="28"/>
          <w:szCs w:val="28"/>
        </w:rPr>
      </w:pPr>
      <w:r>
        <w:rPr>
          <w:rFonts w:hint="eastAsia" w:ascii="黑体" w:hAnsi="黑体" w:eastAsia="黑体" w:cs="黑体"/>
          <w:sz w:val="28"/>
          <w:szCs w:val="28"/>
        </w:rPr>
        <w:t>关键词：</w:t>
      </w:r>
      <w:r>
        <w:rPr>
          <w:rFonts w:hint="eastAsia" w:ascii="宋体" w:hAnsi="宋体" w:cs="宋体"/>
          <w:sz w:val="28"/>
          <w:szCs w:val="28"/>
          <w:lang w:val="en-US" w:eastAsia="zh-CN"/>
        </w:rPr>
        <w:t>解热镇痛；抗炎药；不良反应</w:t>
      </w:r>
    </w:p>
    <w:p w14:paraId="291091CC">
      <w:pPr>
        <w:pStyle w:val="23"/>
        <w:spacing w:before="0" w:after="0"/>
        <w:outlineLvl w:val="9"/>
        <w:rPr>
          <w:sz w:val="30"/>
          <w:szCs w:val="30"/>
        </w:rPr>
      </w:pPr>
    </w:p>
    <w:p w14:paraId="1A451A3E">
      <w:pPr>
        <w:pStyle w:val="23"/>
        <w:spacing w:before="0" w:after="0"/>
        <w:outlineLvl w:val="9"/>
        <w:rPr>
          <w:sz w:val="30"/>
          <w:szCs w:val="30"/>
        </w:rPr>
      </w:pPr>
    </w:p>
    <w:p w14:paraId="6B873F61">
      <w:pPr>
        <w:pStyle w:val="23"/>
        <w:spacing w:before="0" w:after="0"/>
        <w:outlineLvl w:val="9"/>
        <w:rPr>
          <w:sz w:val="30"/>
          <w:szCs w:val="30"/>
        </w:rPr>
      </w:pPr>
    </w:p>
    <w:p w14:paraId="6FEC087D">
      <w:pPr>
        <w:pStyle w:val="23"/>
        <w:spacing w:before="0" w:after="0"/>
        <w:outlineLvl w:val="9"/>
        <w:rPr>
          <w:sz w:val="30"/>
          <w:szCs w:val="30"/>
        </w:rPr>
      </w:pPr>
    </w:p>
    <w:p w14:paraId="4325C3C7">
      <w:pPr>
        <w:pStyle w:val="23"/>
        <w:ind w:left="1560" w:hanging="720"/>
        <w:outlineLvl w:val="9"/>
        <w:rPr>
          <w:sz w:val="30"/>
          <w:szCs w:val="30"/>
        </w:rPr>
      </w:pPr>
    </w:p>
    <w:p w14:paraId="7A0E4FC2">
      <w:pPr>
        <w:widowControl/>
        <w:jc w:val="left"/>
        <w:rPr>
          <w:rFonts w:ascii="黑体" w:hAnsi="黑体" w:eastAsia="黑体"/>
          <w:b/>
          <w:bCs/>
          <w:kern w:val="44"/>
          <w:sz w:val="36"/>
          <w:szCs w:val="36"/>
        </w:rPr>
      </w:pPr>
    </w:p>
    <w:p w14:paraId="1A430D5F">
      <w:pPr>
        <w:widowControl/>
        <w:jc w:val="left"/>
        <w:rPr>
          <w:rFonts w:ascii="黑体" w:hAnsi="黑体" w:eastAsia="黑体"/>
          <w:b/>
          <w:bCs/>
          <w:kern w:val="44"/>
          <w:sz w:val="36"/>
          <w:szCs w:val="36"/>
        </w:rPr>
      </w:pPr>
    </w:p>
    <w:p w14:paraId="550BE6C3">
      <w:pPr>
        <w:widowControl/>
        <w:jc w:val="left"/>
        <w:rPr>
          <w:rFonts w:ascii="黑体" w:hAnsi="黑体" w:eastAsia="黑体"/>
          <w:b/>
          <w:bCs/>
          <w:kern w:val="44"/>
          <w:sz w:val="36"/>
          <w:szCs w:val="36"/>
        </w:rPr>
      </w:pPr>
    </w:p>
    <w:p w14:paraId="1C2C01BC">
      <w:pPr>
        <w:widowControl/>
        <w:jc w:val="left"/>
        <w:rPr>
          <w:rFonts w:ascii="黑体" w:hAnsi="黑体" w:eastAsia="黑体"/>
          <w:b/>
          <w:bCs/>
          <w:kern w:val="44"/>
          <w:sz w:val="36"/>
          <w:szCs w:val="36"/>
        </w:rPr>
      </w:pPr>
    </w:p>
    <w:p w14:paraId="36A7A347">
      <w:pPr>
        <w:widowControl/>
        <w:jc w:val="left"/>
        <w:rPr>
          <w:rFonts w:ascii="黑体" w:hAnsi="黑体" w:eastAsia="黑体"/>
          <w:b/>
          <w:bCs/>
          <w:kern w:val="44"/>
          <w:sz w:val="36"/>
          <w:szCs w:val="36"/>
        </w:rPr>
      </w:pPr>
    </w:p>
    <w:p w14:paraId="231233F9">
      <w:pPr>
        <w:widowControl/>
        <w:jc w:val="left"/>
        <w:rPr>
          <w:rFonts w:ascii="黑体" w:hAnsi="黑体" w:eastAsia="黑体"/>
          <w:b/>
          <w:bCs/>
          <w:kern w:val="44"/>
          <w:sz w:val="36"/>
          <w:szCs w:val="36"/>
        </w:rPr>
      </w:pPr>
    </w:p>
    <w:p w14:paraId="6C79F7A5">
      <w:pPr>
        <w:widowControl/>
        <w:jc w:val="left"/>
        <w:rPr>
          <w:rFonts w:ascii="黑体" w:hAnsi="黑体" w:eastAsia="黑体"/>
          <w:b/>
          <w:bCs/>
          <w:kern w:val="44"/>
          <w:sz w:val="36"/>
          <w:szCs w:val="36"/>
        </w:rPr>
      </w:pPr>
    </w:p>
    <w:bookmarkEnd w:id="4"/>
    <w:p w14:paraId="7053B8A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解热镇痛抗炎药是一类具有解热、镇痛，而且大多数还有抗炎和抗风湿作用的药物。由于化学结构和抗炎作用机制与肾上腺皮质激素不同，通常被称为非甾体抗炎药(NSAID)。一般认为，本类药物的治疗指数高，安全范围大。在非处方药中也占据了一定的地位．也因此成为应用最广泛的对症治疗药物。与此同时，不合理用药也影响到其疗效的充分发挥，造成了很多不良反应。因此只有熟悉和掌握各类解热镇痛药的分类</w:t>
      </w:r>
      <w:r>
        <w:rPr>
          <w:rFonts w:hint="eastAsia" w:ascii="宋体" w:hAnsi="宋体" w:eastAsia="宋体" w:cs="宋体"/>
          <w:sz w:val="24"/>
          <w:lang w:eastAsia="zh-CN"/>
        </w:rPr>
        <w:t>、</w:t>
      </w:r>
      <w:r>
        <w:rPr>
          <w:rFonts w:hint="eastAsia" w:ascii="宋体" w:hAnsi="宋体" w:eastAsia="宋体" w:cs="宋体"/>
          <w:sz w:val="24"/>
          <w:lang w:val="en-US" w:eastAsia="zh-CN"/>
        </w:rPr>
        <w:t>药理</w:t>
      </w:r>
      <w:r>
        <w:rPr>
          <w:rFonts w:hint="eastAsia" w:ascii="宋体" w:hAnsi="宋体" w:eastAsia="宋体" w:cs="宋体"/>
          <w:sz w:val="24"/>
        </w:rPr>
        <w:t>作用特点及不良反应</w:t>
      </w:r>
      <w:r>
        <w:rPr>
          <w:rFonts w:hint="eastAsia" w:ascii="宋体" w:hAnsi="宋体" w:eastAsia="宋体" w:cs="宋体"/>
          <w:sz w:val="24"/>
          <w:lang w:eastAsia="zh-CN"/>
        </w:rPr>
        <w:t>，</w:t>
      </w:r>
      <w:r>
        <w:rPr>
          <w:rFonts w:hint="eastAsia" w:ascii="宋体" w:hAnsi="宋体" w:eastAsia="宋体" w:cs="宋体"/>
          <w:sz w:val="24"/>
        </w:rPr>
        <w:t>制定合理的用药方案，才能更好的</w:t>
      </w:r>
      <w:r>
        <w:rPr>
          <w:rFonts w:hint="eastAsia" w:ascii="宋体" w:hAnsi="宋体" w:eastAsia="宋体" w:cs="宋体"/>
          <w:sz w:val="24"/>
          <w:lang w:val="en-US" w:eastAsia="zh-CN"/>
        </w:rPr>
        <w:t>使用</w:t>
      </w:r>
      <w:r>
        <w:rPr>
          <w:rFonts w:hint="eastAsia" w:ascii="宋体" w:hAnsi="宋体" w:eastAsia="宋体" w:cs="宋体"/>
          <w:sz w:val="24"/>
        </w:rPr>
        <w:t>该类药物</w:t>
      </w:r>
    </w:p>
    <w:p w14:paraId="5ECAEA64">
      <w:pPr>
        <w:keepNext w:val="0"/>
        <w:keepLines w:val="0"/>
        <w:pageBreakBefore w:val="0"/>
        <w:widowControl/>
        <w:kinsoku/>
        <w:wordWrap/>
        <w:overflowPunct/>
        <w:topLinePunct w:val="0"/>
        <w:autoSpaceDE/>
        <w:autoSpaceDN/>
        <w:bidi w:val="0"/>
        <w:adjustRightInd/>
        <w:snapToGrid/>
        <w:spacing w:line="240" w:lineRule="auto"/>
        <w:ind w:firstLine="0" w:firstLineChars="0"/>
        <w:jc w:val="left"/>
        <w:textAlignment w:val="auto"/>
        <w:outlineLvl w:val="0"/>
        <w:rPr>
          <w:rFonts w:hint="eastAsia" w:ascii="黑体" w:hAnsi="黑体" w:eastAsia="黑体" w:cs="黑体"/>
          <w:sz w:val="36"/>
          <w:szCs w:val="36"/>
        </w:rPr>
      </w:pPr>
      <w:bookmarkStart w:id="5" w:name="_Toc7290"/>
      <w:bookmarkStart w:id="6" w:name="_Toc4187"/>
      <w:bookmarkStart w:id="7" w:name="_Toc2112"/>
      <w:bookmarkStart w:id="8" w:name="_Toc14980"/>
      <w:r>
        <w:rPr>
          <w:rFonts w:hint="eastAsia" w:ascii="黑体" w:hAnsi="黑体" w:eastAsia="黑体" w:cs="黑体"/>
          <w:sz w:val="36"/>
          <w:szCs w:val="36"/>
        </w:rPr>
        <w:t>一、解热镇痛药的分类及特点</w:t>
      </w:r>
      <w:bookmarkEnd w:id="5"/>
      <w:bookmarkEnd w:id="6"/>
      <w:bookmarkEnd w:id="7"/>
      <w:bookmarkEnd w:id="8"/>
    </w:p>
    <w:p w14:paraId="5806BEA3">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outlineLvl w:val="1"/>
        <w:rPr>
          <w:rFonts w:hint="eastAsia" w:ascii="黑体" w:hAnsi="黑体" w:eastAsia="黑体" w:cs="黑体"/>
          <w:sz w:val="30"/>
          <w:szCs w:val="30"/>
        </w:rPr>
      </w:pPr>
      <w:bookmarkStart w:id="9" w:name="_Toc19222"/>
      <w:bookmarkEnd w:id="9"/>
      <w:bookmarkStart w:id="10" w:name="_Toc4237"/>
      <w:bookmarkStart w:id="11" w:name="_Toc21674"/>
      <w:bookmarkStart w:id="12" w:name="_Toc27553"/>
      <w:bookmarkStart w:id="13" w:name="_Toc32576"/>
      <w:r>
        <w:rPr>
          <w:rFonts w:hint="eastAsia" w:ascii="黑体" w:hAnsi="黑体" w:eastAsia="黑体" w:cs="黑体"/>
          <w:sz w:val="30"/>
          <w:szCs w:val="30"/>
          <w:lang w:eastAsia="zh-CN"/>
        </w:rPr>
        <w:t>（</w:t>
      </w:r>
      <w:r>
        <w:rPr>
          <w:rFonts w:hint="eastAsia" w:ascii="黑体" w:hAnsi="黑体" w:eastAsia="黑体" w:cs="黑体"/>
          <w:sz w:val="30"/>
          <w:szCs w:val="30"/>
          <w:lang w:val="en-US" w:eastAsia="zh-CN"/>
        </w:rPr>
        <w:t>一</w:t>
      </w:r>
      <w:r>
        <w:rPr>
          <w:rFonts w:hint="eastAsia" w:ascii="黑体" w:hAnsi="黑体" w:eastAsia="黑体" w:cs="黑体"/>
          <w:sz w:val="30"/>
          <w:szCs w:val="30"/>
          <w:lang w:eastAsia="zh-CN"/>
        </w:rPr>
        <w:t>）</w:t>
      </w:r>
      <w:r>
        <w:rPr>
          <w:rFonts w:hint="eastAsia" w:ascii="黑体" w:hAnsi="黑体" w:eastAsia="黑体" w:cs="黑体"/>
          <w:sz w:val="30"/>
          <w:szCs w:val="30"/>
        </w:rPr>
        <w:t>水杨酸类</w:t>
      </w:r>
      <w:bookmarkEnd w:id="10"/>
      <w:bookmarkEnd w:id="11"/>
      <w:bookmarkEnd w:id="12"/>
      <w:bookmarkEnd w:id="13"/>
      <w:r>
        <w:rPr>
          <w:rFonts w:hint="eastAsia" w:ascii="黑体" w:hAnsi="黑体" w:eastAsia="黑体" w:cs="黑体"/>
          <w:sz w:val="30"/>
          <w:szCs w:val="30"/>
        </w:rPr>
        <w:t xml:space="preserve"> </w:t>
      </w:r>
    </w:p>
    <w:p w14:paraId="71023BA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lang w:val="en-US" w:eastAsia="zh-CN"/>
        </w:rPr>
      </w:pPr>
      <w:bookmarkStart w:id="14" w:name="_Toc285"/>
      <w:r>
        <w:rPr>
          <w:rFonts w:hint="default" w:ascii="宋体" w:hAnsi="宋体" w:eastAsia="宋体" w:cs="宋体"/>
          <w:sz w:val="24"/>
          <w:lang w:val="en-US" w:eastAsia="zh-CN"/>
        </w:rPr>
        <w:t>水杨酸类药物在解热镇痛领域有着悠久的历史和广泛的应用。早在公元前十五世纪，希腊医学家希波克拉底就发现了杨柳树的叶和皮具有镇痛和退热的作用。这一发现为后来的水杨酸类药物的研发奠定了基础。</w:t>
      </w:r>
    </w:p>
    <w:p w14:paraId="37450A1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sz w:val="24"/>
          <w:lang w:val="en-US" w:eastAsia="zh-CN"/>
        </w:rPr>
      </w:pPr>
      <w:r>
        <w:rPr>
          <w:rFonts w:hint="default" w:ascii="宋体" w:hAnsi="宋体" w:eastAsia="宋体" w:cs="宋体"/>
          <w:sz w:val="24"/>
          <w:lang w:val="en-US" w:eastAsia="zh-CN"/>
        </w:rPr>
        <w:t>1838年，科学家首次从植物中提取出Salicylic Acid（水杨酸），这标志着水杨酸类药物研发的重要里程碑。随后，在1875年，巴斯首次将水杨酸钠应用于临床治疗，开启了水杨酸类药物在医学领域的新篇章。</w:t>
      </w:r>
    </w:p>
    <w:p w14:paraId="23B9591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sz w:val="24"/>
          <w:lang w:val="en-US" w:eastAsia="zh-CN"/>
        </w:rPr>
      </w:pPr>
      <w:r>
        <w:rPr>
          <w:rFonts w:hint="default" w:ascii="宋体" w:hAnsi="宋体" w:eastAsia="宋体" w:cs="宋体"/>
          <w:sz w:val="24"/>
          <w:lang w:val="en-US" w:eastAsia="zh-CN"/>
        </w:rPr>
        <w:t>在众多水杨酸类药物中，阿司匹林（乙酰水杨酸）是使用最为广泛和持久的药物之一。它以其温和确切的解热镇痛作用、较强的抗炎和抗风湿作用，以及促进尿酸排泄的功能而备受青睐。此外，阿司匹林还具有抗血小板聚集的作用，这使得它在心血管疾病的治疗中也具有重要的地位。</w:t>
      </w:r>
    </w:p>
    <w:bookmarkEnd w:id="14"/>
    <w:p w14:paraId="218A4804">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outlineLvl w:val="1"/>
        <w:rPr>
          <w:rFonts w:hint="eastAsia" w:ascii="黑体" w:hAnsi="黑体" w:eastAsia="黑体" w:cs="黑体"/>
          <w:sz w:val="30"/>
          <w:szCs w:val="30"/>
        </w:rPr>
      </w:pPr>
      <w:bookmarkStart w:id="15" w:name="_Toc3843"/>
      <w:bookmarkStart w:id="16" w:name="_Toc32542"/>
      <w:bookmarkStart w:id="17" w:name="_Toc16950"/>
      <w:bookmarkStart w:id="18" w:name="_Toc13184"/>
      <w:r>
        <w:rPr>
          <w:rFonts w:hint="eastAsia" w:ascii="黑体" w:hAnsi="黑体" w:eastAsia="黑体" w:cs="黑体"/>
          <w:sz w:val="30"/>
          <w:szCs w:val="30"/>
          <w:lang w:eastAsia="zh-CN"/>
        </w:rPr>
        <w:t>（</w:t>
      </w:r>
      <w:r>
        <w:rPr>
          <w:rFonts w:hint="eastAsia" w:ascii="黑体" w:hAnsi="黑体" w:eastAsia="黑体" w:cs="黑体"/>
          <w:sz w:val="30"/>
          <w:szCs w:val="30"/>
          <w:lang w:val="en-US" w:eastAsia="zh-CN"/>
        </w:rPr>
        <w:t>二</w:t>
      </w:r>
      <w:r>
        <w:rPr>
          <w:rFonts w:hint="eastAsia" w:ascii="黑体" w:hAnsi="黑体" w:eastAsia="黑体" w:cs="黑体"/>
          <w:sz w:val="30"/>
          <w:szCs w:val="30"/>
          <w:lang w:eastAsia="zh-CN"/>
        </w:rPr>
        <w:t>）</w:t>
      </w:r>
      <w:r>
        <w:rPr>
          <w:rFonts w:hint="eastAsia" w:ascii="黑体" w:hAnsi="黑体" w:eastAsia="黑体" w:cs="黑体"/>
          <w:sz w:val="30"/>
          <w:szCs w:val="30"/>
        </w:rPr>
        <w:t>乙酰苯胺类</w:t>
      </w:r>
      <w:bookmarkEnd w:id="15"/>
      <w:bookmarkEnd w:id="16"/>
      <w:bookmarkEnd w:id="17"/>
      <w:bookmarkEnd w:id="18"/>
    </w:p>
    <w:p w14:paraId="3C16B12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sz w:val="24"/>
          <w:lang w:val="en-US" w:eastAsia="zh-CN"/>
        </w:rPr>
      </w:pPr>
      <w:bookmarkStart w:id="19" w:name="_Toc2294"/>
      <w:r>
        <w:rPr>
          <w:rFonts w:hint="default" w:ascii="宋体" w:hAnsi="宋体" w:eastAsia="宋体" w:cs="宋体"/>
          <w:sz w:val="24"/>
          <w:lang w:val="en-US" w:eastAsia="zh-CN"/>
        </w:rPr>
        <w:t>乙酰苯胺类药物是一类具有很强解热镇痛作用的药物，其中最早应用的是非那西丁。然而，由于非那西丁的毒性较大，且其在体内水解为苯胺后可能导致高铁血红蛋白和黄疸等不良反应，因此现在已很少使用。</w:t>
      </w:r>
    </w:p>
    <w:p w14:paraId="508974A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sz w:val="24"/>
          <w:lang w:val="en-US" w:eastAsia="zh-CN"/>
        </w:rPr>
      </w:pPr>
      <w:r>
        <w:rPr>
          <w:rFonts w:hint="default" w:ascii="宋体" w:hAnsi="宋体" w:eastAsia="宋体" w:cs="宋体"/>
          <w:sz w:val="24"/>
          <w:lang w:val="en-US" w:eastAsia="zh-CN"/>
        </w:rPr>
        <w:t>扑热息痛（对乙酰氨基酚）是乙酰苯胺类药物中最常用的药物之一，它被广泛用作解热镇痛药。其解热作用与乙酰水杨酸（阿司匹林的主要成分）相似，但镇痛作用相对较弱。然而，与阿司匹林等其他解热镇痛药物相比，扑热息痛对胃肠道的刺激较小，更适用于胃肠道敏感或患有胃肠道疾病的患者。由于其较低的胃肠道刺激性和良好的安全性，扑热息痛成为儿童和许多成年人的首选解热镇痛药。</w:t>
      </w:r>
    </w:p>
    <w:p w14:paraId="23A7F14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sz w:val="24"/>
          <w:lang w:val="en-US" w:eastAsia="zh-CN"/>
        </w:rPr>
      </w:pPr>
      <w:r>
        <w:rPr>
          <w:rFonts w:hint="default" w:ascii="宋体" w:hAnsi="宋体" w:eastAsia="宋体" w:cs="宋体"/>
          <w:sz w:val="24"/>
          <w:lang w:val="en-US" w:eastAsia="zh-CN"/>
        </w:rPr>
        <w:t>另一方面，贝诺酯是另一种乙酰苯胺类药物，它是扑热息痛与对乙酰水杨酸结合成酯的化合物。贝诺酯作为一种新型的抗风湿药，结合了扑热息痛和对乙酰水杨酸的优点，具有较好的消炎镇痛和解热作用。与乙酰水杨酸相比，贝诺酯的不良反应较少，耐受性较好，因此在治疗风湿性疾病如类风湿性关节炎、痛风等方面具有一定的优势。</w:t>
      </w:r>
    </w:p>
    <w:bookmarkEnd w:id="19"/>
    <w:p w14:paraId="2A819447">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outlineLvl w:val="1"/>
        <w:rPr>
          <w:rFonts w:hint="eastAsia" w:ascii="黑体" w:hAnsi="黑体" w:eastAsia="黑体" w:cs="黑体"/>
          <w:sz w:val="30"/>
          <w:szCs w:val="30"/>
        </w:rPr>
      </w:pPr>
      <w:bookmarkStart w:id="20" w:name="_Toc29355"/>
      <w:bookmarkStart w:id="21" w:name="_Toc17214"/>
      <w:bookmarkStart w:id="22" w:name="_Toc14466"/>
      <w:bookmarkStart w:id="23" w:name="_Toc20655"/>
      <w:r>
        <w:rPr>
          <w:rFonts w:hint="eastAsia" w:ascii="黑体" w:hAnsi="黑体" w:eastAsia="黑体" w:cs="黑体"/>
          <w:sz w:val="30"/>
          <w:szCs w:val="30"/>
          <w:lang w:eastAsia="zh-CN"/>
        </w:rPr>
        <w:t>（</w:t>
      </w:r>
      <w:r>
        <w:rPr>
          <w:rFonts w:hint="eastAsia" w:ascii="黑体" w:hAnsi="黑体" w:eastAsia="黑体" w:cs="黑体"/>
          <w:sz w:val="30"/>
          <w:szCs w:val="30"/>
          <w:lang w:val="en-US" w:eastAsia="zh-CN"/>
        </w:rPr>
        <w:t>三</w:t>
      </w:r>
      <w:r>
        <w:rPr>
          <w:rFonts w:hint="eastAsia" w:ascii="黑体" w:hAnsi="黑体" w:eastAsia="黑体" w:cs="黑体"/>
          <w:sz w:val="30"/>
          <w:szCs w:val="30"/>
          <w:lang w:eastAsia="zh-CN"/>
        </w:rPr>
        <w:t>）</w:t>
      </w:r>
      <w:r>
        <w:rPr>
          <w:rFonts w:hint="eastAsia" w:ascii="黑体" w:hAnsi="黑体" w:eastAsia="黑体" w:cs="黑体"/>
          <w:sz w:val="30"/>
          <w:szCs w:val="30"/>
        </w:rPr>
        <w:t>吡唑酮类</w:t>
      </w:r>
      <w:bookmarkEnd w:id="20"/>
      <w:bookmarkEnd w:id="21"/>
      <w:bookmarkEnd w:id="22"/>
      <w:bookmarkEnd w:id="23"/>
    </w:p>
    <w:p w14:paraId="54DF220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lang w:val="en-US" w:eastAsia="zh-CN"/>
        </w:rPr>
      </w:pPr>
      <w:bookmarkStart w:id="24" w:name="_Toc3150"/>
      <w:r>
        <w:rPr>
          <w:rFonts w:hint="eastAsia" w:ascii="宋体" w:hAnsi="宋体" w:eastAsia="宋体" w:cs="宋体"/>
          <w:sz w:val="24"/>
          <w:lang w:val="en-US" w:eastAsia="zh-CN"/>
        </w:rPr>
        <w:t>吡唑酮类药物，如保泰松、安替匹林、氨基比林、安乃近等，具有较明显的解热镇痛和抗炎作用，常被用于缓解高热和镇痛。其中，保泰松是这一类药物的代表。</w:t>
      </w:r>
    </w:p>
    <w:p w14:paraId="44B519C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保泰松的解热镇痛作用相对较弱，但其抗炎作用较强，对于炎性疼痛有较好的疗效。此外，它还具有促进尿酸排泄的作用。然而，需要注意的是，保泰松对胃肠道的刺激性较大，长期使用或过量使用可能引发肝炎、黄疸、粒细胞缺乏症等不良反应。因此，在使用时应严格控制剂量，成人每次不得超过0.5g，小儿的剂量应根据体重来计算，每次以8～10mg/kg为宜。</w:t>
      </w:r>
    </w:p>
    <w:p w14:paraId="6C26C26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对于对保泰松过敏的患者，可能会出现严重的过敏反应，包括休克甚至猝死。因此，在使用前应仔细询问患者的过敏史，确保安全用药。</w:t>
      </w:r>
    </w:p>
    <w:p w14:paraId="0DFA2B9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总之，吡唑酮类药物在解热镇痛和抗炎方面具有一定的疗效，但使用时需注意其可能带来的不良反应，尤其是胃肠道刺激和过敏反应。在使用前应仔细评估患者的病情和过敏史，并在医生的指导下合理用药。</w:t>
      </w:r>
    </w:p>
    <w:bookmarkEnd w:id="24"/>
    <w:p w14:paraId="0E6FCE16">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outlineLvl w:val="1"/>
        <w:rPr>
          <w:rFonts w:hint="eastAsia" w:ascii="黑体" w:hAnsi="黑体" w:eastAsia="黑体" w:cs="黑体"/>
          <w:sz w:val="30"/>
          <w:szCs w:val="30"/>
        </w:rPr>
      </w:pPr>
      <w:bookmarkStart w:id="25" w:name="_Toc10527"/>
      <w:bookmarkStart w:id="26" w:name="_Toc16553"/>
      <w:bookmarkStart w:id="27" w:name="_Toc7504"/>
      <w:bookmarkStart w:id="28" w:name="_Toc32766"/>
      <w:r>
        <w:rPr>
          <w:rFonts w:hint="eastAsia" w:ascii="黑体" w:hAnsi="黑体" w:eastAsia="黑体" w:cs="黑体"/>
          <w:sz w:val="30"/>
          <w:szCs w:val="30"/>
          <w:lang w:eastAsia="zh-CN"/>
        </w:rPr>
        <w:t>（</w:t>
      </w:r>
      <w:r>
        <w:rPr>
          <w:rFonts w:hint="eastAsia" w:ascii="黑体" w:hAnsi="黑体" w:eastAsia="黑体" w:cs="黑体"/>
          <w:sz w:val="30"/>
          <w:szCs w:val="30"/>
          <w:lang w:val="en-US" w:eastAsia="zh-CN"/>
        </w:rPr>
        <w:t>四</w:t>
      </w:r>
      <w:r>
        <w:rPr>
          <w:rFonts w:hint="eastAsia" w:ascii="黑体" w:hAnsi="黑体" w:eastAsia="黑体" w:cs="黑体"/>
          <w:sz w:val="30"/>
          <w:szCs w:val="30"/>
          <w:lang w:eastAsia="zh-CN"/>
        </w:rPr>
        <w:t>）</w:t>
      </w:r>
      <w:r>
        <w:rPr>
          <w:rFonts w:hint="eastAsia" w:ascii="黑体" w:hAnsi="黑体" w:eastAsia="黑体" w:cs="黑体"/>
          <w:sz w:val="30"/>
          <w:szCs w:val="30"/>
        </w:rPr>
        <w:t>苯酰</w:t>
      </w:r>
      <w:r>
        <w:rPr>
          <w:rFonts w:hint="eastAsia" w:ascii="黑体" w:hAnsi="黑体" w:eastAsia="黑体" w:cs="黑体"/>
          <w:sz w:val="30"/>
          <w:szCs w:val="30"/>
          <w:lang w:val="en-US" w:eastAsia="zh-CN"/>
        </w:rPr>
        <w:t>胺</w:t>
      </w:r>
      <w:r>
        <w:rPr>
          <w:rFonts w:hint="eastAsia" w:ascii="黑体" w:hAnsi="黑体" w:eastAsia="黑体" w:cs="黑体"/>
          <w:sz w:val="30"/>
          <w:szCs w:val="30"/>
        </w:rPr>
        <w:t>衍生物</w:t>
      </w:r>
      <w:bookmarkEnd w:id="25"/>
      <w:bookmarkEnd w:id="26"/>
      <w:bookmarkEnd w:id="27"/>
      <w:bookmarkEnd w:id="28"/>
    </w:p>
    <w:p w14:paraId="086BCF6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lang w:val="en-US" w:eastAsia="zh-CN"/>
        </w:rPr>
      </w:pPr>
      <w:bookmarkStart w:id="29" w:name="_Toc10120"/>
      <w:r>
        <w:rPr>
          <w:rFonts w:hint="eastAsia" w:ascii="宋体" w:hAnsi="宋体" w:eastAsia="宋体" w:cs="宋体"/>
          <w:sz w:val="24"/>
          <w:lang w:val="en-US" w:eastAsia="zh-CN"/>
        </w:rPr>
        <w:t>苯酰胺衍生物是一类具有强效镇痛作用的药物，其中双氯芬酸是这一类药物中的代表。双氯芬酸在解热、镇痛、抗炎和抗风湿方面表现出较强的作用，其效果通常优于吲哚美辛、萘普生等药物。</w:t>
      </w:r>
    </w:p>
    <w:p w14:paraId="1DD622D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sz w:val="24"/>
          <w:lang w:val="en-US" w:eastAsia="zh-CN"/>
        </w:rPr>
      </w:pPr>
      <w:r>
        <w:rPr>
          <w:rFonts w:hint="eastAsia" w:ascii="宋体" w:hAnsi="宋体" w:eastAsia="宋体" w:cs="宋体"/>
          <w:sz w:val="24"/>
          <w:lang w:val="en-US" w:eastAsia="zh-CN"/>
        </w:rPr>
        <w:t>这类药物也存在一些明显的副作用，</w:t>
      </w:r>
      <w:r>
        <w:rPr>
          <w:rFonts w:hint="default" w:ascii="宋体" w:hAnsi="宋体" w:eastAsia="宋体" w:cs="宋体"/>
          <w:sz w:val="24"/>
          <w:lang w:val="en-US" w:eastAsia="zh-CN"/>
        </w:rPr>
        <w:t>除了胃肠道系统的副作用，如恶心、呕吐、腹泻和食欲不振外，乙酰苯胺及其衍生物确实可能对人体造成多方面的损害。长时间接触乙酰苯胺可能会对皮肤造成一定的刺激性，严重者还会导致剥脱性皮炎。此外，长时间吸入乙酰苯胺可能会对上呼吸道造成一定的刺激，高剂量摄入还可能导致高铁血红蛋白血症，从而出现紫绀、呼吸急促、心率增快等缺氧症状。</w:t>
      </w:r>
    </w:p>
    <w:p w14:paraId="37A0393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lang w:val="en-US" w:eastAsia="zh-CN"/>
        </w:rPr>
      </w:pPr>
      <w:r>
        <w:rPr>
          <w:rFonts w:hint="default" w:ascii="宋体" w:hAnsi="宋体" w:eastAsia="宋体" w:cs="宋体"/>
          <w:sz w:val="24"/>
          <w:lang w:val="en-US" w:eastAsia="zh-CN"/>
        </w:rPr>
        <w:t>乙酰苯胺中毒严重者还可能导致中枢神经系统兴奋，出现激动、谵妄、惊厥等症状。大剂量摄入乙酰苯胺还可能导致肝脏损伤，出现肝坏死、凝血障碍等疾病，少部分患者可能会出现肾功能衰竭。在血液系统方面，部分患者可能会出现溶血性贫血，出现血红蛋白尿。乙酰苯胺及其衍生物还存在慢性致癌风险，尽管这种风险可能相对较低。</w:t>
      </w:r>
    </w:p>
    <w:bookmarkEnd w:id="29"/>
    <w:p w14:paraId="4F204431">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outlineLvl w:val="1"/>
        <w:rPr>
          <w:rFonts w:hint="eastAsia" w:ascii="黑体" w:hAnsi="黑体" w:eastAsia="黑体" w:cs="黑体"/>
          <w:sz w:val="30"/>
          <w:szCs w:val="30"/>
        </w:rPr>
      </w:pPr>
      <w:bookmarkStart w:id="30" w:name="_Toc23144"/>
      <w:bookmarkStart w:id="31" w:name="_Toc13531"/>
      <w:bookmarkStart w:id="32" w:name="_Toc2456"/>
      <w:bookmarkStart w:id="33" w:name="_Toc12600"/>
      <w:r>
        <w:rPr>
          <w:rFonts w:hint="eastAsia" w:ascii="黑体" w:hAnsi="黑体" w:eastAsia="黑体" w:cs="黑体"/>
          <w:sz w:val="30"/>
          <w:szCs w:val="30"/>
          <w:lang w:eastAsia="zh-CN"/>
        </w:rPr>
        <w:t>（</w:t>
      </w:r>
      <w:r>
        <w:rPr>
          <w:rFonts w:hint="eastAsia" w:ascii="黑体" w:hAnsi="黑体" w:eastAsia="黑体" w:cs="黑体"/>
          <w:sz w:val="30"/>
          <w:szCs w:val="30"/>
          <w:lang w:val="en-US" w:eastAsia="zh-CN"/>
        </w:rPr>
        <w:t>五</w:t>
      </w:r>
      <w:r>
        <w:rPr>
          <w:rFonts w:hint="eastAsia" w:ascii="黑体" w:hAnsi="黑体" w:eastAsia="黑体" w:cs="黑体"/>
          <w:sz w:val="30"/>
          <w:szCs w:val="30"/>
          <w:lang w:eastAsia="zh-CN"/>
        </w:rPr>
        <w:t>）</w:t>
      </w:r>
      <w:r>
        <w:rPr>
          <w:rFonts w:hint="eastAsia" w:ascii="黑体" w:hAnsi="黑体" w:eastAsia="黑体" w:cs="黑体"/>
          <w:sz w:val="30"/>
          <w:szCs w:val="30"/>
        </w:rPr>
        <w:t>芳基（吲哚）乙酸类</w:t>
      </w:r>
      <w:bookmarkEnd w:id="30"/>
      <w:bookmarkEnd w:id="31"/>
      <w:bookmarkEnd w:id="32"/>
      <w:bookmarkEnd w:id="33"/>
    </w:p>
    <w:p w14:paraId="0BB8325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lang w:val="en-US" w:eastAsia="zh-CN"/>
        </w:rPr>
      </w:pPr>
      <w:bookmarkStart w:id="34" w:name="_Toc17477"/>
      <w:r>
        <w:rPr>
          <w:rFonts w:hint="default" w:ascii="宋体" w:hAnsi="宋体" w:eastAsia="宋体" w:cs="宋体"/>
          <w:sz w:val="24"/>
          <w:lang w:val="en-US" w:eastAsia="zh-CN"/>
        </w:rPr>
        <w:t>芳基（吲哚）乙酸类药物确实是一类具有显著抗炎和镇痛作用的药物。自1963年开始临床应用以来，它们在治疗风湿性和类风湿性关节炎、痛经以及其他疼痛性炎症疾病方面展现了良好的效果。</w:t>
      </w:r>
    </w:p>
    <w:p w14:paraId="3AB818A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sz w:val="24"/>
          <w:lang w:val="en-US" w:eastAsia="zh-CN"/>
        </w:rPr>
      </w:pPr>
      <w:r>
        <w:rPr>
          <w:rFonts w:hint="default" w:ascii="宋体" w:hAnsi="宋体" w:eastAsia="宋体" w:cs="宋体"/>
          <w:sz w:val="24"/>
          <w:lang w:val="en-US" w:eastAsia="zh-CN"/>
        </w:rPr>
        <w:t>这类药物也存在一些明显的不良反应。首先，它们可能引发胃肠道反应，如恶心、呕吐、腹痛等，对胃肠道造成刺激和损害。其次，吲哚美辛等药物还可能引起中枢神经系统症状，如头痛、头晕等。此外，这类药物还可能对肝功能造成损害，抑制造血系统，导致白细胞减少等不良反应。</w:t>
      </w:r>
    </w:p>
    <w:p w14:paraId="66846B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sz w:val="24"/>
          <w:lang w:val="en-US" w:eastAsia="zh-CN"/>
        </w:rPr>
      </w:pPr>
      <w:r>
        <w:rPr>
          <w:rFonts w:hint="default" w:ascii="宋体" w:hAnsi="宋体" w:eastAsia="宋体" w:cs="宋体"/>
          <w:sz w:val="24"/>
          <w:lang w:val="en-US" w:eastAsia="zh-CN"/>
        </w:rPr>
        <w:t>在使用芳基（吲哚）乙酸类药物时，需要特别注意患者的身体反应，并在医生的指导下规范用药。对于存在胃肠道疾病、肝肾功能不全等特殊情况的患者，需要谨慎使用或避免使用这类药物。同时，患者也需要遵循医嘱，按时按量用药，避免自行调整剂量或停药，以免引发不必要的风险。</w:t>
      </w:r>
    </w:p>
    <w:bookmarkEnd w:id="34"/>
    <w:p w14:paraId="466C87D5">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outlineLvl w:val="1"/>
        <w:rPr>
          <w:rFonts w:hint="eastAsia" w:ascii="黑体" w:hAnsi="黑体" w:eastAsia="黑体" w:cs="黑体"/>
          <w:sz w:val="30"/>
          <w:szCs w:val="30"/>
        </w:rPr>
      </w:pPr>
      <w:bookmarkStart w:id="35" w:name="_Toc5380"/>
      <w:bookmarkStart w:id="36" w:name="_Toc30531"/>
      <w:bookmarkStart w:id="37" w:name="_Toc20314"/>
      <w:bookmarkStart w:id="38" w:name="_Toc15337"/>
      <w:r>
        <w:rPr>
          <w:rFonts w:hint="eastAsia" w:ascii="黑体" w:hAnsi="黑体" w:eastAsia="黑体" w:cs="黑体"/>
          <w:sz w:val="30"/>
          <w:szCs w:val="30"/>
          <w:lang w:eastAsia="zh-CN"/>
        </w:rPr>
        <w:t>（</w:t>
      </w:r>
      <w:r>
        <w:rPr>
          <w:rFonts w:hint="eastAsia" w:ascii="黑体" w:hAnsi="黑体" w:eastAsia="黑体" w:cs="黑体"/>
          <w:sz w:val="30"/>
          <w:szCs w:val="30"/>
          <w:lang w:val="en-US" w:eastAsia="zh-CN"/>
        </w:rPr>
        <w:t>六</w:t>
      </w:r>
      <w:r>
        <w:rPr>
          <w:rFonts w:hint="eastAsia" w:ascii="黑体" w:hAnsi="黑体" w:eastAsia="黑体" w:cs="黑体"/>
          <w:sz w:val="30"/>
          <w:szCs w:val="30"/>
          <w:lang w:eastAsia="zh-CN"/>
        </w:rPr>
        <w:t>）</w:t>
      </w:r>
      <w:r>
        <w:rPr>
          <w:rFonts w:hint="eastAsia" w:ascii="黑体" w:hAnsi="黑体" w:eastAsia="黑体" w:cs="黑体"/>
          <w:sz w:val="30"/>
          <w:szCs w:val="30"/>
        </w:rPr>
        <w:t>尼美舒利</w:t>
      </w:r>
      <w:bookmarkEnd w:id="35"/>
      <w:bookmarkEnd w:id="36"/>
      <w:bookmarkEnd w:id="37"/>
      <w:bookmarkEnd w:id="38"/>
    </w:p>
    <w:p w14:paraId="2177E4C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bookmarkStart w:id="39" w:name="_Toc18495"/>
      <w:r>
        <w:rPr>
          <w:rFonts w:hint="default" w:ascii="宋体" w:hAnsi="宋体" w:eastAsia="宋体" w:cs="宋体"/>
          <w:sz w:val="24"/>
        </w:rPr>
        <w:t>尼美舒利是一种非甾体抗炎药，与布洛芬、对乙酰氨基酚等常见解热镇痛药相比，其解热镇痛作用起效较快，且不良反应相当。然而，尼美舒利在儿童用药方面需要特别谨慎。</w:t>
      </w:r>
    </w:p>
    <w:p w14:paraId="39B611D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sz w:val="24"/>
        </w:rPr>
      </w:pPr>
      <w:r>
        <w:rPr>
          <w:rFonts w:hint="default" w:ascii="宋体" w:hAnsi="宋体" w:eastAsia="宋体" w:cs="宋体"/>
          <w:sz w:val="24"/>
        </w:rPr>
        <w:t>2010年11月26日，在北京儿童用药安全国际论坛上，有专家指出尼美舒利在儿童用药时存在对中枢神经和肝脏造成损伤的风险，相关案例时常出现。因此，医学人员提醒在儿童发热用药的选择上应慎用尼美舒利。</w:t>
      </w:r>
    </w:p>
    <w:p w14:paraId="0413C16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sz w:val="24"/>
        </w:rPr>
      </w:pPr>
      <w:r>
        <w:rPr>
          <w:rFonts w:hint="default" w:ascii="宋体" w:hAnsi="宋体" w:eastAsia="宋体" w:cs="宋体"/>
          <w:sz w:val="24"/>
        </w:rPr>
        <w:t>随后，为了保障儿童用药安全，国家食品药品监督管理局于2011年5月20日发布通知，决定修改尼美舒利说明书，并禁止尼美舒利口服制剂用于12岁以下儿童。这一决定是基于对尼美舒利安全性的深入研究和评估，旨在减少儿童用药中可能出现的风险。此外，在使用尼美舒利时，应遵循医嘱和药物说明书上的用药剂量和疗程，避免过量使用或长期使用导致的不良反应。</w:t>
      </w:r>
    </w:p>
    <w:bookmarkEnd w:id="39"/>
    <w:p w14:paraId="11872997">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outlineLvl w:val="0"/>
        <w:rPr>
          <w:rFonts w:hint="eastAsia" w:ascii="黑体" w:hAnsi="黑体" w:eastAsia="黑体" w:cs="黑体"/>
          <w:sz w:val="36"/>
          <w:szCs w:val="36"/>
        </w:rPr>
      </w:pPr>
      <w:bookmarkStart w:id="40" w:name="_Toc359"/>
      <w:bookmarkStart w:id="41" w:name="_Toc716"/>
      <w:bookmarkStart w:id="42" w:name="_Toc23468"/>
      <w:bookmarkStart w:id="43" w:name="_Toc22078"/>
      <w:r>
        <w:rPr>
          <w:rFonts w:hint="eastAsia" w:ascii="黑体" w:hAnsi="黑体" w:eastAsia="黑体" w:cs="黑体"/>
          <w:sz w:val="36"/>
          <w:szCs w:val="36"/>
        </w:rPr>
        <w:t>二、解热镇痛药的作用机制</w:t>
      </w:r>
      <w:bookmarkEnd w:id="40"/>
      <w:bookmarkEnd w:id="41"/>
      <w:bookmarkEnd w:id="42"/>
      <w:bookmarkEnd w:id="43"/>
    </w:p>
    <w:p w14:paraId="2408A681">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outlineLvl w:val="1"/>
        <w:rPr>
          <w:rFonts w:hint="eastAsia" w:ascii="黑体" w:hAnsi="黑体" w:eastAsia="黑体" w:cs="黑体"/>
          <w:sz w:val="30"/>
          <w:szCs w:val="30"/>
        </w:rPr>
      </w:pPr>
      <w:bookmarkStart w:id="44" w:name="_Toc32112"/>
      <w:bookmarkEnd w:id="44"/>
      <w:bookmarkStart w:id="45" w:name="_Toc5027"/>
      <w:bookmarkStart w:id="46" w:name="_Toc22048"/>
      <w:bookmarkStart w:id="47" w:name="_Toc2737"/>
      <w:bookmarkStart w:id="48" w:name="_Toc29254"/>
      <w:r>
        <w:rPr>
          <w:rFonts w:hint="eastAsia" w:ascii="黑体" w:hAnsi="黑体" w:eastAsia="黑体" w:cs="黑体"/>
          <w:sz w:val="30"/>
          <w:szCs w:val="30"/>
          <w:lang w:eastAsia="zh-CN"/>
        </w:rPr>
        <w:t>（</w:t>
      </w:r>
      <w:r>
        <w:rPr>
          <w:rFonts w:hint="eastAsia" w:ascii="黑体" w:hAnsi="黑体" w:eastAsia="黑体" w:cs="黑体"/>
          <w:sz w:val="30"/>
          <w:szCs w:val="30"/>
          <w:lang w:val="en-US" w:eastAsia="zh-CN"/>
        </w:rPr>
        <w:t>一</w:t>
      </w:r>
      <w:r>
        <w:rPr>
          <w:rFonts w:hint="eastAsia" w:ascii="黑体" w:hAnsi="黑体" w:eastAsia="黑体" w:cs="黑体"/>
          <w:sz w:val="30"/>
          <w:szCs w:val="30"/>
          <w:lang w:eastAsia="zh-CN"/>
        </w:rPr>
        <w:t>）</w:t>
      </w:r>
      <w:r>
        <w:rPr>
          <w:rFonts w:hint="eastAsia" w:ascii="黑体" w:hAnsi="黑体" w:eastAsia="黑体" w:cs="黑体"/>
          <w:sz w:val="30"/>
          <w:szCs w:val="30"/>
        </w:rPr>
        <w:t>解热作用</w:t>
      </w:r>
      <w:bookmarkEnd w:id="45"/>
      <w:bookmarkEnd w:id="46"/>
      <w:bookmarkEnd w:id="47"/>
      <w:bookmarkEnd w:id="48"/>
    </w:p>
    <w:p w14:paraId="752EE1A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bookmarkStart w:id="49" w:name="_Toc27504"/>
      <w:r>
        <w:rPr>
          <w:rFonts w:hint="eastAsia" w:ascii="宋体" w:hAnsi="宋体" w:eastAsia="宋体" w:cs="宋体"/>
          <w:sz w:val="24"/>
        </w:rPr>
        <w:t>解热镇痛药通过抑制下丘脑中的环氧化酶（COX）的活性，进而减少前列腺素（PG）的合成。前列腺素是一种在体温调节中起关键作用的物质，它参与体温调节中枢的调节过程。当人体受到感染或炎症刺激时，前列腺素的合成会增加，导致体温调定点上升，从而引发发热。</w:t>
      </w:r>
    </w:p>
    <w:bookmarkEnd w:id="49"/>
    <w:p w14:paraId="65DB0FB3">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outlineLvl w:val="1"/>
        <w:rPr>
          <w:rFonts w:hint="eastAsia" w:ascii="黑体" w:hAnsi="黑体" w:eastAsia="黑体" w:cs="黑体"/>
          <w:sz w:val="30"/>
          <w:szCs w:val="30"/>
        </w:rPr>
      </w:pPr>
      <w:bookmarkStart w:id="50" w:name="_Toc7554"/>
      <w:bookmarkStart w:id="51" w:name="_Toc8168"/>
      <w:bookmarkStart w:id="52" w:name="_Toc9639"/>
      <w:bookmarkStart w:id="53" w:name="_Toc26886"/>
      <w:r>
        <w:rPr>
          <w:rFonts w:hint="eastAsia" w:ascii="黑体" w:hAnsi="黑体" w:eastAsia="黑体" w:cs="黑体"/>
          <w:sz w:val="30"/>
          <w:szCs w:val="30"/>
          <w:lang w:eastAsia="zh-CN"/>
        </w:rPr>
        <w:t>（</w:t>
      </w:r>
      <w:r>
        <w:rPr>
          <w:rFonts w:hint="eastAsia" w:ascii="黑体" w:hAnsi="黑体" w:eastAsia="黑体" w:cs="黑体"/>
          <w:sz w:val="30"/>
          <w:szCs w:val="30"/>
          <w:lang w:val="en-US" w:eastAsia="zh-CN"/>
        </w:rPr>
        <w:t>二</w:t>
      </w:r>
      <w:r>
        <w:rPr>
          <w:rFonts w:hint="eastAsia" w:ascii="黑体" w:hAnsi="黑体" w:eastAsia="黑体" w:cs="黑体"/>
          <w:sz w:val="30"/>
          <w:szCs w:val="30"/>
          <w:lang w:eastAsia="zh-CN"/>
        </w:rPr>
        <w:t>）</w:t>
      </w:r>
      <w:r>
        <w:rPr>
          <w:rFonts w:hint="eastAsia" w:ascii="黑体" w:hAnsi="黑体" w:eastAsia="黑体" w:cs="黑体"/>
          <w:sz w:val="30"/>
          <w:szCs w:val="30"/>
        </w:rPr>
        <w:t>镇痛作用</w:t>
      </w:r>
      <w:bookmarkEnd w:id="50"/>
      <w:bookmarkEnd w:id="51"/>
      <w:bookmarkEnd w:id="52"/>
      <w:bookmarkEnd w:id="53"/>
    </w:p>
    <w:p w14:paraId="67EEA4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bookmarkStart w:id="54" w:name="_Toc17897"/>
      <w:r>
        <w:rPr>
          <w:rFonts w:hint="default" w:ascii="宋体" w:hAnsi="宋体" w:eastAsia="宋体" w:cs="宋体"/>
          <w:sz w:val="24"/>
        </w:rPr>
        <w:t>解热镇痛药的镇痛作用在临床治疗中扮演着至关重要的角色。这类药物主要通过抑制外周组织中的环氧化酶（COX）活性，进而减少前列腺素的合成，从而发挥镇痛效果。</w:t>
      </w:r>
    </w:p>
    <w:p w14:paraId="3ECD747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eastAsia="宋体" w:cs="宋体"/>
          <w:sz w:val="24"/>
          <w:szCs w:val="24"/>
          <w:lang w:val="en-US" w:eastAsia="zh-CN"/>
        </w:rPr>
      </w:pPr>
      <w:r>
        <w:rPr>
          <w:rFonts w:hint="default" w:ascii="宋体" w:hAnsi="宋体" w:eastAsia="宋体" w:cs="宋体"/>
          <w:sz w:val="24"/>
        </w:rPr>
        <w:t>前列腺素是一种在炎症和疼痛反应中起关键作用的物质。当身体受到损伤或感染时，局部组织会释放前列腺素，刺激痛觉感受器，引发疼痛反应。解热镇痛药能够阻断这一反应过程，减少前列腺素的生成，从而降低局部组织对疼痛刺激的敏感性，缓解患者的疼痛感</w:t>
      </w:r>
      <w:r>
        <w:rPr>
          <w:rFonts w:hint="eastAsia" w:ascii="宋体" w:cs="宋体"/>
          <w:sz w:val="24"/>
          <w:szCs w:val="24"/>
          <w:lang w:val="en-US" w:eastAsia="zh-CN"/>
        </w:rPr>
        <w:t>..............................</w:t>
      </w:r>
    </w:p>
    <w:bookmarkEnd w:id="54"/>
    <w:p w14:paraId="44A72C62">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eastAsia="宋体" w:cs="宋体"/>
          <w:sz w:val="24"/>
          <w:szCs w:val="24"/>
          <w:lang w:val="en-US" w:eastAsia="zh-CN"/>
        </w:rPr>
      </w:pPr>
      <w:bookmarkStart w:id="55" w:name="_Toc10613"/>
      <w:bookmarkStart w:id="56" w:name="_Toc18066"/>
      <w:bookmarkStart w:id="57" w:name="_Toc2286"/>
      <w:bookmarkStart w:id="58" w:name="_Toc26804"/>
      <w:r>
        <w:rPr>
          <w:rFonts w:hint="eastAsia" w:ascii="黑体" w:hAnsi="黑体" w:eastAsia="黑体" w:cs="黑体"/>
          <w:sz w:val="36"/>
          <w:szCs w:val="36"/>
        </w:rPr>
        <w:t>三、解热镇痛药的毒副作用</w:t>
      </w:r>
      <w:bookmarkEnd w:id="55"/>
      <w:bookmarkEnd w:id="56"/>
      <w:bookmarkEnd w:id="57"/>
      <w:bookmarkEnd w:id="58"/>
      <w:r>
        <w:rPr>
          <w:rFonts w:hint="eastAsia" w:ascii="黑体" w:hAnsi="黑体" w:eastAsia="黑体" w:cs="黑体"/>
          <w:sz w:val="36"/>
          <w:szCs w:val="36"/>
        </w:rPr>
        <w:br w:type="textWrapping"/>
      </w:r>
      <w:r>
        <w:rPr>
          <w:rFonts w:hint="eastAsia" w:ascii="宋体" w:cs="宋体"/>
          <w:sz w:val="24"/>
          <w:szCs w:val="24"/>
          <w:lang w:val="en-US" w:eastAsia="zh-CN"/>
        </w:rPr>
        <w:t>..............................</w:t>
      </w:r>
    </w:p>
    <w:p w14:paraId="20976564">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outlineLvl w:val="0"/>
        <w:rPr>
          <w:rFonts w:hint="eastAsia" w:ascii="黑体" w:hAnsi="黑体" w:eastAsia="黑体" w:cs="黑体"/>
          <w:sz w:val="36"/>
          <w:szCs w:val="36"/>
        </w:rPr>
      </w:pPr>
      <w:bookmarkStart w:id="59" w:name="_Toc8572"/>
      <w:bookmarkEnd w:id="59"/>
      <w:bookmarkStart w:id="60" w:name="_Toc25005"/>
      <w:bookmarkStart w:id="61" w:name="_Toc1812"/>
      <w:bookmarkStart w:id="62" w:name="_Toc30788"/>
      <w:bookmarkStart w:id="63" w:name="_Toc27952"/>
      <w:r>
        <w:rPr>
          <w:rFonts w:hint="eastAsia" w:ascii="黑体" w:hAnsi="黑体" w:eastAsia="黑体" w:cs="黑体"/>
          <w:sz w:val="36"/>
          <w:szCs w:val="36"/>
        </w:rPr>
        <w:t>四、解热镇痛药的合理应用原则</w:t>
      </w:r>
      <w:bookmarkEnd w:id="60"/>
      <w:bookmarkEnd w:id="61"/>
      <w:bookmarkEnd w:id="62"/>
      <w:bookmarkEnd w:id="63"/>
    </w:p>
    <w:p w14:paraId="77F48693">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300" w:afterAutospacing="0" w:line="27" w:lineRule="atLeast"/>
        <w:ind w:left="0" w:right="0" w:firstLine="0"/>
        <w:jc w:val="both"/>
        <w:rPr>
          <w:rFonts w:ascii="微软雅黑" w:hAnsi="微软雅黑" w:eastAsia="微软雅黑" w:cs="微软雅黑"/>
          <w:i w:val="0"/>
          <w:iCs w:val="0"/>
          <w:caps w:val="0"/>
          <w:color w:val="1D1D1D"/>
          <w:spacing w:val="0"/>
          <w:sz w:val="24"/>
          <w:szCs w:val="24"/>
        </w:rPr>
      </w:pPr>
      <w:r>
        <w:rPr>
          <w:rFonts w:hint="eastAsia" w:ascii="宋体" w:cs="宋体"/>
          <w:sz w:val="24"/>
          <w:szCs w:val="24"/>
          <w:lang w:val="en-US" w:eastAsia="zh-CN"/>
        </w:rPr>
        <w:t>..............................</w:t>
      </w:r>
      <w:r>
        <w:rPr>
          <w:rFonts w:hint="eastAsia" w:ascii="宋体" w:cs="宋体"/>
          <w:sz w:val="24"/>
          <w:szCs w:val="24"/>
          <w:lang w:val="en-US" w:eastAsia="zh-CN"/>
        </w:rPr>
        <w:br w:type="textWrapping"/>
      </w:r>
      <w:r>
        <w:rPr>
          <w:rFonts w:hint="eastAsia" w:ascii="微软雅黑" w:hAnsi="微软雅黑" w:eastAsia="微软雅黑" w:cs="微软雅黑"/>
          <w:i w:val="0"/>
          <w:iCs w:val="0"/>
          <w:caps w:val="0"/>
          <w:color w:val="1D1D1D"/>
          <w:spacing w:val="0"/>
          <w:sz w:val="24"/>
          <w:szCs w:val="24"/>
          <w:bdr w:val="none" w:color="auto" w:sz="0" w:space="0"/>
          <w:shd w:val="clear" w:fill="FFFFFF"/>
        </w:rPr>
        <w:t>……未完待续……</w:t>
      </w:r>
    </w:p>
    <w:p w14:paraId="791DCFE6">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300" w:afterAutospacing="0" w:line="27" w:lineRule="atLeast"/>
        <w:ind w:left="0" w:right="0" w:firstLine="0"/>
        <w:jc w:val="both"/>
        <w:rPr>
          <w:rFonts w:hint="default" w:ascii="微软雅黑" w:hAnsi="微软雅黑" w:eastAsia="微软雅黑" w:cs="微软雅黑"/>
          <w:i w:val="0"/>
          <w:iCs w:val="0"/>
          <w:caps w:val="0"/>
          <w:color w:val="1D1D1D"/>
          <w:spacing w:val="0"/>
          <w:sz w:val="24"/>
          <w:szCs w:val="24"/>
          <w:lang w:val="en-US" w:eastAsia="zh-CN"/>
        </w:rPr>
      </w:pPr>
      <w:r>
        <w:rPr>
          <w:spacing w:val="-1"/>
        </w:rPr>
        <w:drawing>
          <wp:anchor distT="0" distB="0" distL="114300" distR="114300" simplePos="0" relativeHeight="251660288" behindDoc="0" locked="0" layoutInCell="1" allowOverlap="1">
            <wp:simplePos x="0" y="0"/>
            <wp:positionH relativeFrom="column">
              <wp:posOffset>1231900</wp:posOffset>
            </wp:positionH>
            <wp:positionV relativeFrom="paragraph">
              <wp:posOffset>430530</wp:posOffset>
            </wp:positionV>
            <wp:extent cx="1423670" cy="1445260"/>
            <wp:effectExtent l="0" t="0" r="5080" b="2540"/>
            <wp:wrapNone/>
            <wp:docPr id="27" name="图片 27" descr="卢玲玲微信二维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卢玲玲微信二维码"/>
                    <pic:cNvPicPr>
                      <a:picLocks noChangeAspect="1"/>
                    </pic:cNvPicPr>
                  </pic:nvPicPr>
                  <pic:blipFill>
                    <a:blip r:embed="rId5"/>
                    <a:stretch>
                      <a:fillRect/>
                    </a:stretch>
                  </pic:blipFill>
                  <pic:spPr>
                    <a:xfrm>
                      <a:off x="0" y="0"/>
                      <a:ext cx="1423670" cy="1445260"/>
                    </a:xfrm>
                    <a:prstGeom prst="rect">
                      <a:avLst/>
                    </a:prstGeom>
                  </pic:spPr>
                </pic:pic>
              </a:graphicData>
            </a:graphic>
          </wp:anchor>
        </w:drawing>
      </w:r>
      <w:r>
        <w:rPr>
          <w:rFonts w:hint="eastAsia" w:ascii="微软雅黑" w:hAnsi="微软雅黑" w:eastAsia="微软雅黑" w:cs="微软雅黑"/>
          <w:i w:val="0"/>
          <w:iCs w:val="0"/>
          <w:caps w:val="0"/>
          <w:color w:val="1D1D1D"/>
          <w:spacing w:val="0"/>
          <w:sz w:val="24"/>
          <w:szCs w:val="24"/>
          <w:bdr w:val="none" w:color="auto" w:sz="0" w:space="0"/>
          <w:shd w:val="clear" w:fill="FFFFFF"/>
        </w:rPr>
        <w:t>&gt;&gt;&gt;当前为不完整内容，查看完整版及相关电大试题资料</w:t>
      </w:r>
      <w:r>
        <w:rPr>
          <w:color w:val="FF0000"/>
          <w:spacing w:val="-1"/>
        </w:rPr>
        <w:t>搜微信：</w:t>
      </w:r>
      <w:r>
        <w:rPr>
          <w:rFonts w:hint="eastAsia" w:ascii="Times New Roman" w:hAnsi="Times New Roman" w:cs="Times New Roman"/>
          <w:color w:val="FF0000"/>
          <w:spacing w:val="-1"/>
          <w:lang w:eastAsia="zh-CN"/>
        </w:rPr>
        <w:t>fgdd2023</w:t>
      </w:r>
      <w:r>
        <w:rPr>
          <w:rFonts w:hint="eastAsia" w:ascii="微软雅黑" w:hAnsi="微软雅黑" w:eastAsia="微软雅黑" w:cs="微软雅黑"/>
          <w:i w:val="0"/>
          <w:iCs w:val="0"/>
          <w:caps w:val="0"/>
          <w:color w:val="00B050"/>
          <w:spacing w:val="0"/>
          <w:sz w:val="24"/>
          <w:szCs w:val="24"/>
          <w:bdr w:val="none" w:color="auto" w:sz="0" w:space="0"/>
          <w:shd w:val="clear" w:fill="FFFFFF"/>
          <w:lang w:val="en-US" w:eastAsia="zh-CN"/>
        </w:rPr>
        <w:br w:type="textWrapping"/>
      </w:r>
    </w:p>
    <w:p w14:paraId="6ACBD791">
      <w:pPr>
        <w:spacing w:line="360" w:lineRule="auto"/>
        <w:ind w:firstLine="480" w:firstLineChars="200"/>
        <w:jc w:val="both"/>
        <w:rPr>
          <w:rFonts w:hint="default" w:ascii="宋体" w:eastAsia="宋体" w:cs="宋体"/>
          <w:sz w:val="24"/>
          <w:szCs w:val="24"/>
          <w:lang w:val="en-US" w:eastAsia="zh-CN"/>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9DD22D">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0C3398D">
                          <w:pPr>
                            <w:pStyle w:val="9"/>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1028"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fupl/LAQAAnAMAAA4AAAAAAAAAAQAgAAAAHgEAAGRycy9lMm9E&#10;b2MueG1sUEsFBgAAAAAGAAYAWQEAAFsFAAAAAA==&#10;">
              <v:fill on="f" focussize="0,0"/>
              <v:stroke on="f"/>
              <v:imagedata o:title=""/>
              <o:lock v:ext="edit" aspectratio="f"/>
              <v:textbox inset="0mm,0mm,0mm,0mm" style="mso-fit-shape-to-text:t;">
                <w:txbxContent>
                  <w:p w14:paraId="30C3398D">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NotTrackMoves/>
  <w:documentProtection w:enforcement="0"/>
  <w:defaultTabStop w:val="420"/>
  <w:doNotHyphenateCaps/>
  <w:drawingGridVerticalSpacing w:val="156"/>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QwYTg1YWZmNjgwNjFlZTJhNmY0ZDA3NzdkZWQ0NDkifQ=="/>
  </w:docVars>
  <w:rsids>
    <w:rsidRoot w:val="001F64FF"/>
    <w:rsid w:val="00007542"/>
    <w:rsid w:val="000169F6"/>
    <w:rsid w:val="00026B82"/>
    <w:rsid w:val="0003106D"/>
    <w:rsid w:val="00037206"/>
    <w:rsid w:val="00037760"/>
    <w:rsid w:val="00044CA6"/>
    <w:rsid w:val="00052877"/>
    <w:rsid w:val="0008786A"/>
    <w:rsid w:val="00095692"/>
    <w:rsid w:val="000A7CF6"/>
    <w:rsid w:val="000D0FAE"/>
    <w:rsid w:val="000F1C54"/>
    <w:rsid w:val="001015A4"/>
    <w:rsid w:val="001273C1"/>
    <w:rsid w:val="00131319"/>
    <w:rsid w:val="00132178"/>
    <w:rsid w:val="00135BB6"/>
    <w:rsid w:val="00146EA4"/>
    <w:rsid w:val="00195319"/>
    <w:rsid w:val="001D5531"/>
    <w:rsid w:val="001E0959"/>
    <w:rsid w:val="001F64FF"/>
    <w:rsid w:val="001F66C2"/>
    <w:rsid w:val="0024165C"/>
    <w:rsid w:val="00284540"/>
    <w:rsid w:val="002C3C67"/>
    <w:rsid w:val="002E2B2B"/>
    <w:rsid w:val="002F474F"/>
    <w:rsid w:val="002F6801"/>
    <w:rsid w:val="00313BF1"/>
    <w:rsid w:val="0035453D"/>
    <w:rsid w:val="003A0EF5"/>
    <w:rsid w:val="003A68AC"/>
    <w:rsid w:val="003D1402"/>
    <w:rsid w:val="003E2CB3"/>
    <w:rsid w:val="003F0AB7"/>
    <w:rsid w:val="003F7EAD"/>
    <w:rsid w:val="004300AB"/>
    <w:rsid w:val="0043574F"/>
    <w:rsid w:val="00480BCE"/>
    <w:rsid w:val="004822FB"/>
    <w:rsid w:val="004931DD"/>
    <w:rsid w:val="00496860"/>
    <w:rsid w:val="00496A52"/>
    <w:rsid w:val="004A50CF"/>
    <w:rsid w:val="004A616A"/>
    <w:rsid w:val="004C2B23"/>
    <w:rsid w:val="004D7C28"/>
    <w:rsid w:val="004E1E65"/>
    <w:rsid w:val="005143B3"/>
    <w:rsid w:val="00515D17"/>
    <w:rsid w:val="00523B72"/>
    <w:rsid w:val="00534722"/>
    <w:rsid w:val="0054705B"/>
    <w:rsid w:val="0058374B"/>
    <w:rsid w:val="005902A0"/>
    <w:rsid w:val="005A132F"/>
    <w:rsid w:val="005A36E5"/>
    <w:rsid w:val="005D6413"/>
    <w:rsid w:val="00606C59"/>
    <w:rsid w:val="00633046"/>
    <w:rsid w:val="00683780"/>
    <w:rsid w:val="00693285"/>
    <w:rsid w:val="006C03DC"/>
    <w:rsid w:val="006C18E0"/>
    <w:rsid w:val="006D25E1"/>
    <w:rsid w:val="007047DF"/>
    <w:rsid w:val="0072087A"/>
    <w:rsid w:val="00767CA1"/>
    <w:rsid w:val="00775D6E"/>
    <w:rsid w:val="00781C4E"/>
    <w:rsid w:val="007B54E1"/>
    <w:rsid w:val="007E196D"/>
    <w:rsid w:val="007F5729"/>
    <w:rsid w:val="0080142C"/>
    <w:rsid w:val="0081251A"/>
    <w:rsid w:val="008230BB"/>
    <w:rsid w:val="00844707"/>
    <w:rsid w:val="00847019"/>
    <w:rsid w:val="008520E3"/>
    <w:rsid w:val="00885231"/>
    <w:rsid w:val="008912A0"/>
    <w:rsid w:val="008D2576"/>
    <w:rsid w:val="0090724A"/>
    <w:rsid w:val="009107BA"/>
    <w:rsid w:val="00935A3D"/>
    <w:rsid w:val="0095022D"/>
    <w:rsid w:val="009622B4"/>
    <w:rsid w:val="00976C2E"/>
    <w:rsid w:val="009800C9"/>
    <w:rsid w:val="009A542A"/>
    <w:rsid w:val="009C5B5A"/>
    <w:rsid w:val="00A0171C"/>
    <w:rsid w:val="00A3483A"/>
    <w:rsid w:val="00A40E46"/>
    <w:rsid w:val="00A856D0"/>
    <w:rsid w:val="00A956D1"/>
    <w:rsid w:val="00AB0621"/>
    <w:rsid w:val="00AD4173"/>
    <w:rsid w:val="00AD5B70"/>
    <w:rsid w:val="00AF2E20"/>
    <w:rsid w:val="00B06A55"/>
    <w:rsid w:val="00B114F1"/>
    <w:rsid w:val="00B4417B"/>
    <w:rsid w:val="00B722DB"/>
    <w:rsid w:val="00B92ED5"/>
    <w:rsid w:val="00BA28B7"/>
    <w:rsid w:val="00BA5DAF"/>
    <w:rsid w:val="00BA65E7"/>
    <w:rsid w:val="00BD6AA5"/>
    <w:rsid w:val="00C0289D"/>
    <w:rsid w:val="00C03CF8"/>
    <w:rsid w:val="00C2137D"/>
    <w:rsid w:val="00C42F6E"/>
    <w:rsid w:val="00C866CB"/>
    <w:rsid w:val="00CA6631"/>
    <w:rsid w:val="00CB7F13"/>
    <w:rsid w:val="00CD7CD0"/>
    <w:rsid w:val="00CE6BE7"/>
    <w:rsid w:val="00CF4AD5"/>
    <w:rsid w:val="00D02645"/>
    <w:rsid w:val="00D03C1A"/>
    <w:rsid w:val="00D32EE6"/>
    <w:rsid w:val="00D85046"/>
    <w:rsid w:val="00DD6211"/>
    <w:rsid w:val="00DE58EF"/>
    <w:rsid w:val="00E04E6A"/>
    <w:rsid w:val="00E26E4C"/>
    <w:rsid w:val="00E454CA"/>
    <w:rsid w:val="00E704F8"/>
    <w:rsid w:val="00E70A54"/>
    <w:rsid w:val="00E80F1B"/>
    <w:rsid w:val="00E866BB"/>
    <w:rsid w:val="00E90EFE"/>
    <w:rsid w:val="00E9382B"/>
    <w:rsid w:val="00E95F77"/>
    <w:rsid w:val="00E974BC"/>
    <w:rsid w:val="00EA5CCD"/>
    <w:rsid w:val="00EA5F77"/>
    <w:rsid w:val="00EB6DCE"/>
    <w:rsid w:val="00ED2476"/>
    <w:rsid w:val="00EE6657"/>
    <w:rsid w:val="00EF1394"/>
    <w:rsid w:val="00EF6E3E"/>
    <w:rsid w:val="00F05427"/>
    <w:rsid w:val="00F2674C"/>
    <w:rsid w:val="00F32D37"/>
    <w:rsid w:val="00F3579C"/>
    <w:rsid w:val="00F40694"/>
    <w:rsid w:val="00F41659"/>
    <w:rsid w:val="00F66389"/>
    <w:rsid w:val="00F90391"/>
    <w:rsid w:val="00F95770"/>
    <w:rsid w:val="00FB1745"/>
    <w:rsid w:val="00FE6E4A"/>
    <w:rsid w:val="026E0D49"/>
    <w:rsid w:val="04131BA8"/>
    <w:rsid w:val="071167C2"/>
    <w:rsid w:val="08AB2B34"/>
    <w:rsid w:val="0BAE57A0"/>
    <w:rsid w:val="0BE4618F"/>
    <w:rsid w:val="0D0810BF"/>
    <w:rsid w:val="1391047E"/>
    <w:rsid w:val="1E3E386E"/>
    <w:rsid w:val="25721056"/>
    <w:rsid w:val="25DE5569"/>
    <w:rsid w:val="2F735CB0"/>
    <w:rsid w:val="30232935"/>
    <w:rsid w:val="3A4678DA"/>
    <w:rsid w:val="3F932C72"/>
    <w:rsid w:val="430F11B1"/>
    <w:rsid w:val="4517259F"/>
    <w:rsid w:val="479B2841"/>
    <w:rsid w:val="4E451F2B"/>
    <w:rsid w:val="4FE45773"/>
    <w:rsid w:val="575D69A8"/>
    <w:rsid w:val="586E12C3"/>
    <w:rsid w:val="593D1008"/>
    <w:rsid w:val="5C89392A"/>
    <w:rsid w:val="5FD75105"/>
    <w:rsid w:val="66FE4F15"/>
    <w:rsid w:val="679B09B6"/>
    <w:rsid w:val="67D72326"/>
    <w:rsid w:val="69531548"/>
    <w:rsid w:val="6E2D558A"/>
    <w:rsid w:val="6F6D4A58"/>
    <w:rsid w:val="7A0111A9"/>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99" w:name="toc 1"/>
    <w:lsdException w:qFormat="1" w:unhideWhenUsed="0" w:uiPriority="99" w:name="toc 2"/>
    <w:lsdException w:qFormat="1" w:unhideWhenUsed="0" w:uiPriority="99" w:name="toc 3"/>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uiPriority="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17"/>
    <w:qFormat/>
    <w:uiPriority w:val="99"/>
    <w:pPr>
      <w:keepNext/>
      <w:keepLines/>
      <w:spacing w:before="340" w:after="330" w:line="578" w:lineRule="auto"/>
      <w:outlineLvl w:val="0"/>
    </w:pPr>
    <w:rPr>
      <w:b/>
      <w:bCs/>
      <w:kern w:val="44"/>
      <w:sz w:val="44"/>
      <w:szCs w:val="44"/>
    </w:rPr>
  </w:style>
  <w:style w:type="paragraph" w:styleId="3">
    <w:name w:val="heading 2"/>
    <w:basedOn w:val="1"/>
    <w:next w:val="1"/>
    <w:link w:val="18"/>
    <w:qFormat/>
    <w:uiPriority w:val="99"/>
    <w:pPr>
      <w:keepNext/>
      <w:keepLines/>
      <w:spacing w:before="260" w:after="260" w:line="416" w:lineRule="auto"/>
      <w:outlineLvl w:val="1"/>
    </w:pPr>
    <w:rPr>
      <w:rFonts w:ascii="Cambria" w:hAnsi="Cambria" w:cs="Cambria"/>
      <w:b/>
      <w:bCs/>
      <w:sz w:val="32"/>
      <w:szCs w:val="32"/>
    </w:rPr>
  </w:style>
  <w:style w:type="paragraph" w:styleId="4">
    <w:name w:val="heading 3"/>
    <w:basedOn w:val="1"/>
    <w:next w:val="1"/>
    <w:link w:val="19"/>
    <w:autoRedefine/>
    <w:qFormat/>
    <w:uiPriority w:val="99"/>
    <w:pPr>
      <w:keepNext/>
      <w:keepLines/>
      <w:spacing w:before="260" w:after="260" w:line="416" w:lineRule="auto"/>
      <w:outlineLvl w:val="2"/>
    </w:pPr>
    <w:rPr>
      <w:b/>
      <w:bCs/>
      <w:sz w:val="32"/>
      <w:szCs w:val="32"/>
    </w:rPr>
  </w:style>
  <w:style w:type="character" w:default="1" w:styleId="15">
    <w:name w:val="Default Paragraph Font"/>
    <w:autoRedefine/>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5">
    <w:name w:val="Body Text"/>
    <w:basedOn w:val="1"/>
    <w:semiHidden/>
    <w:qFormat/>
    <w:uiPriority w:val="0"/>
    <w:rPr>
      <w:rFonts w:ascii="Arial" w:hAnsi="Arial" w:eastAsia="Arial" w:cs="Arial"/>
      <w:sz w:val="21"/>
      <w:szCs w:val="21"/>
      <w:lang w:val="en-US" w:eastAsia="en-US" w:bidi="ar-SA"/>
    </w:rPr>
  </w:style>
  <w:style w:type="paragraph" w:styleId="6">
    <w:name w:val="Body Text Indent"/>
    <w:basedOn w:val="1"/>
    <w:link w:val="22"/>
    <w:qFormat/>
    <w:uiPriority w:val="99"/>
    <w:pPr>
      <w:spacing w:after="120"/>
      <w:ind w:left="420" w:leftChars="200"/>
    </w:pPr>
  </w:style>
  <w:style w:type="paragraph" w:styleId="7">
    <w:name w:val="toc 3"/>
    <w:basedOn w:val="1"/>
    <w:next w:val="1"/>
    <w:semiHidden/>
    <w:qFormat/>
    <w:uiPriority w:val="99"/>
    <w:pPr>
      <w:adjustRightInd w:val="0"/>
      <w:snapToGrid w:val="0"/>
      <w:spacing w:line="400" w:lineRule="exact"/>
      <w:ind w:left="840" w:leftChars="400" w:firstLine="200" w:firstLineChars="200"/>
    </w:pPr>
    <w:rPr>
      <w:sz w:val="24"/>
      <w:szCs w:val="24"/>
    </w:rPr>
  </w:style>
  <w:style w:type="paragraph" w:styleId="8">
    <w:name w:val="Balloon Text"/>
    <w:basedOn w:val="1"/>
    <w:link w:val="29"/>
    <w:semiHidden/>
    <w:qFormat/>
    <w:uiPriority w:val="99"/>
    <w:rPr>
      <w:sz w:val="18"/>
      <w:szCs w:val="18"/>
    </w:rPr>
  </w:style>
  <w:style w:type="paragraph" w:styleId="9">
    <w:name w:val="footer"/>
    <w:basedOn w:val="1"/>
    <w:link w:val="21"/>
    <w:qFormat/>
    <w:uiPriority w:val="99"/>
    <w:pPr>
      <w:tabs>
        <w:tab w:val="center" w:pos="4153"/>
        <w:tab w:val="right" w:pos="8306"/>
      </w:tabs>
      <w:snapToGrid w:val="0"/>
      <w:jc w:val="left"/>
    </w:pPr>
    <w:rPr>
      <w:rFonts w:ascii="Calibri" w:hAnsi="Calibri" w:cs="Calibri"/>
      <w:sz w:val="18"/>
      <w:szCs w:val="18"/>
    </w:rPr>
  </w:style>
  <w:style w:type="paragraph" w:styleId="10">
    <w:name w:val="header"/>
    <w:basedOn w:val="1"/>
    <w:link w:val="20"/>
    <w:qFormat/>
    <w:uiPriority w:val="99"/>
    <w:pPr>
      <w:tabs>
        <w:tab w:val="center" w:pos="4153"/>
        <w:tab w:val="right" w:pos="8306"/>
      </w:tabs>
      <w:snapToGrid w:val="0"/>
      <w:jc w:val="center"/>
    </w:pPr>
    <w:rPr>
      <w:rFonts w:ascii="Calibri" w:hAnsi="Calibri" w:cs="Calibri"/>
      <w:sz w:val="18"/>
      <w:szCs w:val="18"/>
    </w:rPr>
  </w:style>
  <w:style w:type="paragraph" w:styleId="11">
    <w:name w:val="toc 1"/>
    <w:basedOn w:val="1"/>
    <w:next w:val="1"/>
    <w:semiHidden/>
    <w:qFormat/>
    <w:uiPriority w:val="99"/>
    <w:pPr>
      <w:tabs>
        <w:tab w:val="left" w:pos="1260"/>
        <w:tab w:val="right" w:leader="dot" w:pos="8494"/>
      </w:tabs>
      <w:adjustRightInd w:val="0"/>
      <w:snapToGrid w:val="0"/>
      <w:spacing w:line="360" w:lineRule="auto"/>
      <w:ind w:firstLine="480" w:firstLineChars="200"/>
    </w:pPr>
    <w:rPr>
      <w:rFonts w:ascii="宋体" w:hAnsi="宋体" w:cs="黑体"/>
      <w:sz w:val="24"/>
      <w:szCs w:val="24"/>
    </w:rPr>
  </w:style>
  <w:style w:type="paragraph" w:styleId="12">
    <w:name w:val="toc 2"/>
    <w:basedOn w:val="1"/>
    <w:next w:val="1"/>
    <w:semiHidden/>
    <w:qFormat/>
    <w:uiPriority w:val="99"/>
    <w:pPr>
      <w:adjustRightInd w:val="0"/>
      <w:snapToGrid w:val="0"/>
      <w:spacing w:line="400" w:lineRule="exact"/>
      <w:ind w:left="420" w:leftChars="200" w:firstLine="200" w:firstLineChars="200"/>
    </w:pPr>
    <w:rPr>
      <w:sz w:val="24"/>
      <w:szCs w:val="24"/>
    </w:rPr>
  </w:style>
  <w:style w:type="paragraph" w:styleId="13">
    <w:name w:val="Normal (Web)"/>
    <w:basedOn w:val="1"/>
    <w:semiHidden/>
    <w:unhideWhenUsed/>
    <w:uiPriority w:val="99"/>
    <w:pPr>
      <w:spacing w:before="0" w:beforeAutospacing="1" w:after="0" w:afterAutospacing="1"/>
      <w:ind w:left="0" w:right="0"/>
      <w:jc w:val="left"/>
    </w:pPr>
    <w:rPr>
      <w:kern w:val="0"/>
      <w:sz w:val="24"/>
      <w:lang w:val="en-US" w:eastAsia="zh-CN" w:bidi="ar"/>
    </w:rPr>
  </w:style>
  <w:style w:type="character" w:styleId="16">
    <w:name w:val="Hyperlink"/>
    <w:qFormat/>
    <w:uiPriority w:val="99"/>
    <w:rPr>
      <w:color w:val="0000FF"/>
      <w:u w:val="single"/>
    </w:rPr>
  </w:style>
  <w:style w:type="character" w:customStyle="1" w:styleId="17">
    <w:name w:val="标题 1 Char"/>
    <w:link w:val="2"/>
    <w:qFormat/>
    <w:locked/>
    <w:uiPriority w:val="99"/>
    <w:rPr>
      <w:rFonts w:ascii="Times New Roman" w:hAnsi="Times New Roman" w:eastAsia="宋体" w:cs="Times New Roman"/>
      <w:b/>
      <w:bCs/>
      <w:kern w:val="44"/>
      <w:sz w:val="44"/>
      <w:szCs w:val="44"/>
    </w:rPr>
  </w:style>
  <w:style w:type="character" w:customStyle="1" w:styleId="18">
    <w:name w:val="标题 2 Char"/>
    <w:link w:val="3"/>
    <w:qFormat/>
    <w:locked/>
    <w:uiPriority w:val="99"/>
    <w:rPr>
      <w:rFonts w:ascii="Cambria" w:hAnsi="Cambria" w:eastAsia="宋体" w:cs="Cambria"/>
      <w:b/>
      <w:bCs/>
      <w:sz w:val="32"/>
      <w:szCs w:val="32"/>
    </w:rPr>
  </w:style>
  <w:style w:type="character" w:customStyle="1" w:styleId="19">
    <w:name w:val="标题 3 Char"/>
    <w:link w:val="4"/>
    <w:qFormat/>
    <w:locked/>
    <w:uiPriority w:val="99"/>
    <w:rPr>
      <w:rFonts w:ascii="Times New Roman" w:hAnsi="Times New Roman" w:eastAsia="宋体" w:cs="Times New Roman"/>
      <w:b/>
      <w:bCs/>
      <w:sz w:val="32"/>
      <w:szCs w:val="32"/>
    </w:rPr>
  </w:style>
  <w:style w:type="character" w:customStyle="1" w:styleId="20">
    <w:name w:val="页眉 Char"/>
    <w:link w:val="10"/>
    <w:qFormat/>
    <w:locked/>
    <w:uiPriority w:val="99"/>
    <w:rPr>
      <w:sz w:val="18"/>
      <w:szCs w:val="18"/>
    </w:rPr>
  </w:style>
  <w:style w:type="character" w:customStyle="1" w:styleId="21">
    <w:name w:val="页脚 Char"/>
    <w:link w:val="9"/>
    <w:qFormat/>
    <w:locked/>
    <w:uiPriority w:val="99"/>
    <w:rPr>
      <w:sz w:val="18"/>
      <w:szCs w:val="18"/>
    </w:rPr>
  </w:style>
  <w:style w:type="character" w:customStyle="1" w:styleId="22">
    <w:name w:val="正文文本缩进 Char"/>
    <w:link w:val="6"/>
    <w:qFormat/>
    <w:locked/>
    <w:uiPriority w:val="99"/>
    <w:rPr>
      <w:rFonts w:ascii="Times New Roman" w:hAnsi="Times New Roman" w:eastAsia="宋体" w:cs="Times New Roman"/>
      <w:sz w:val="24"/>
      <w:szCs w:val="24"/>
    </w:rPr>
  </w:style>
  <w:style w:type="paragraph" w:customStyle="1" w:styleId="23">
    <w:name w:val="标题名"/>
    <w:basedOn w:val="1"/>
    <w:qFormat/>
    <w:uiPriority w:val="99"/>
    <w:pPr>
      <w:adjustRightInd w:val="0"/>
      <w:snapToGrid w:val="0"/>
      <w:spacing w:before="480" w:after="360"/>
      <w:jc w:val="center"/>
      <w:outlineLvl w:val="0"/>
    </w:pPr>
    <w:rPr>
      <w:rFonts w:eastAsia="黑体"/>
      <w:sz w:val="32"/>
      <w:szCs w:val="32"/>
    </w:rPr>
  </w:style>
  <w:style w:type="character" w:customStyle="1" w:styleId="24">
    <w:name w:val="封面1"/>
    <w:autoRedefine/>
    <w:qFormat/>
    <w:uiPriority w:val="99"/>
    <w:rPr>
      <w:rFonts w:ascii="Times New Roman" w:hAnsi="Times New Roman" w:eastAsia="楷体_GB2312" w:cs="Times New Roman"/>
      <w:spacing w:val="60"/>
      <w:kern w:val="84"/>
      <w:sz w:val="84"/>
      <w:szCs w:val="84"/>
    </w:rPr>
  </w:style>
  <w:style w:type="character" w:customStyle="1" w:styleId="25">
    <w:name w:val="封面2"/>
    <w:qFormat/>
    <w:uiPriority w:val="99"/>
    <w:rPr>
      <w:b/>
      <w:bCs/>
      <w:spacing w:val="60"/>
      <w:sz w:val="44"/>
      <w:szCs w:val="44"/>
    </w:rPr>
  </w:style>
  <w:style w:type="character" w:customStyle="1" w:styleId="26">
    <w:name w:val="封面-论文英文题目"/>
    <w:qFormat/>
    <w:uiPriority w:val="99"/>
    <w:rPr>
      <w:rFonts w:ascii="Times New Roman" w:hAnsi="Times New Roman" w:eastAsia="宋体" w:cs="Times New Roman"/>
      <w:sz w:val="36"/>
      <w:szCs w:val="36"/>
    </w:rPr>
  </w:style>
  <w:style w:type="paragraph" w:customStyle="1" w:styleId="27">
    <w:name w:val="正文（结尾部分）"/>
    <w:basedOn w:val="1"/>
    <w:qFormat/>
    <w:uiPriority w:val="99"/>
    <w:pPr>
      <w:adjustRightInd w:val="0"/>
      <w:snapToGrid w:val="0"/>
      <w:spacing w:line="320" w:lineRule="exact"/>
      <w:ind w:firstLine="200" w:firstLineChars="200"/>
    </w:pPr>
  </w:style>
  <w:style w:type="paragraph" w:customStyle="1" w:styleId="28">
    <w:name w:val="标题名（不入目录）"/>
    <w:basedOn w:val="1"/>
    <w:qFormat/>
    <w:uiPriority w:val="99"/>
    <w:pPr>
      <w:adjustRightInd w:val="0"/>
      <w:snapToGrid w:val="0"/>
      <w:spacing w:before="480" w:after="360"/>
      <w:jc w:val="center"/>
    </w:pPr>
    <w:rPr>
      <w:rFonts w:eastAsia="黑体"/>
      <w:kern w:val="0"/>
      <w:sz w:val="32"/>
      <w:szCs w:val="32"/>
    </w:rPr>
  </w:style>
  <w:style w:type="character" w:customStyle="1" w:styleId="29">
    <w:name w:val="批注框文本 Char"/>
    <w:link w:val="8"/>
    <w:semiHidden/>
    <w:qFormat/>
    <w:locked/>
    <w:uiPriority w:val="99"/>
    <w:rPr>
      <w:rFonts w:ascii="Times New Roman" w:hAnsi="Times New Roman" w:eastAsia="宋体" w:cs="Times New Roman"/>
      <w:sz w:val="18"/>
      <w:szCs w:val="18"/>
    </w:rPr>
  </w:style>
  <w:style w:type="paragraph" w:customStyle="1" w:styleId="30">
    <w:name w:val="WPSOffice手动目录 1"/>
    <w:qFormat/>
    <w:uiPriority w:val="0"/>
    <w:pPr>
      <w:ind w:leftChars="0"/>
    </w:pPr>
    <w:rPr>
      <w:rFonts w:ascii="Calibri" w:hAnsi="Calibri" w:eastAsia="宋体" w:cs="Times New Roman"/>
      <w:sz w:val="20"/>
      <w:szCs w:val="20"/>
    </w:rPr>
  </w:style>
  <w:style w:type="paragraph" w:customStyle="1" w:styleId="31">
    <w:name w:val="WPSOffice手动目录 2"/>
    <w:qFormat/>
    <w:uiPriority w:val="0"/>
    <w:pPr>
      <w:ind w:leftChars="200"/>
    </w:pPr>
    <w:rPr>
      <w:rFonts w:ascii="Calibri" w:hAnsi="Calibri" w:eastAsia="宋体" w:cs="Times New Roman"/>
      <w:sz w:val="20"/>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6</Pages>
  <Words>5386</Words>
  <Characters>5552</Characters>
  <Lines>18</Lines>
  <Paragraphs>5</Paragraphs>
  <TotalTime>0</TotalTime>
  <ScaleCrop>false</ScaleCrop>
  <LinksUpToDate>false</LinksUpToDate>
  <CharactersWithSpaces>5606</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2016-09-20T06:37:00Z</dcterms:created>
  <dc:creator>dell</dc:creator>
  <cp:lastModifiedBy>励弘教育售后服务</cp:lastModifiedBy>
  <cp:lastPrinted>2017-03-10T06:12:00Z</cp:lastPrinted>
  <dcterms:modified xsi:type="dcterms:W3CDTF">2024-08-03T09:32:43Z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B52F424661EF4CA6968C1B627EF18BA1_13</vt:lpwstr>
  </property>
</Properties>
</file>