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7BF06">
      <w:pPr>
        <w:jc w:val="center"/>
        <w:rPr>
          <w:rFonts w:ascii="华文新魏" w:hAnsi="宋体" w:eastAsia="华文新魏" w:cs="Times New Roman"/>
          <w:sz w:val="32"/>
          <w:szCs w:val="24"/>
        </w:rPr>
      </w:pPr>
      <w:r>
        <w:rPr>
          <w:rFonts w:hint="eastAsia" w:ascii="华文新魏" w:hAnsi="宋体" w:eastAsia="华文新魏" w:cs="Times New Roman"/>
          <w:sz w:val="32"/>
          <w:szCs w:val="24"/>
        </w:rPr>
        <w:t>“人才培养模式改革和开放教育”</w:t>
      </w:r>
    </w:p>
    <w:p w14:paraId="666DCCB4">
      <w:pPr>
        <w:jc w:val="center"/>
        <w:rPr>
          <w:rFonts w:ascii="宋体" w:hAnsi="宋体" w:eastAsia="宋体" w:cs="Times New Roman"/>
          <w:szCs w:val="24"/>
        </w:rPr>
      </w:pPr>
    </w:p>
    <w:p w14:paraId="7ED920E5">
      <w:pPr>
        <w:jc w:val="center"/>
        <w:rPr>
          <w:rFonts w:ascii="方正魏碑简体" w:hAnsi="宋体" w:eastAsia="方正魏碑简体" w:cs="Times New Roman"/>
          <w:spacing w:val="20"/>
          <w:sz w:val="44"/>
          <w:szCs w:val="24"/>
        </w:rPr>
      </w:pPr>
      <w:r>
        <w:rPr>
          <w:rFonts w:hint="eastAsia" w:ascii="方正魏碑简体" w:hAnsi="宋体" w:eastAsia="方正魏碑简体" w:cs="Times New Roman"/>
          <w:spacing w:val="20"/>
          <w:sz w:val="44"/>
          <w:szCs w:val="24"/>
        </w:rPr>
        <w:t>甘肃电大行政管理（专科）专业</w:t>
      </w:r>
    </w:p>
    <w:p w14:paraId="72F45FE2">
      <w:pPr>
        <w:jc w:val="center"/>
        <w:rPr>
          <w:rFonts w:ascii="华文行楷" w:hAnsi="宋体" w:eastAsia="华文行楷" w:cs="Times New Roman"/>
          <w:spacing w:val="40"/>
          <w:sz w:val="84"/>
          <w:szCs w:val="24"/>
        </w:rPr>
      </w:pPr>
    </w:p>
    <w:p w14:paraId="59F10A78">
      <w:pPr>
        <w:jc w:val="center"/>
        <w:rPr>
          <w:rFonts w:ascii="华文行楷" w:hAnsi="宋体" w:eastAsia="华文行楷" w:cs="Times New Roman"/>
          <w:spacing w:val="40"/>
          <w:sz w:val="84"/>
          <w:szCs w:val="24"/>
        </w:rPr>
      </w:pPr>
      <w:r>
        <w:rPr>
          <w:rFonts w:hint="eastAsia" w:ascii="华文行楷" w:hAnsi="宋体" w:eastAsia="华文行楷" w:cs="Times New Roman"/>
          <w:spacing w:val="40"/>
          <w:sz w:val="84"/>
          <w:szCs w:val="24"/>
        </w:rPr>
        <w:t>毕业论文</w:t>
      </w:r>
    </w:p>
    <w:p w14:paraId="6C00BF61">
      <w:pPr>
        <w:ind w:firstLine="1050"/>
        <w:rPr>
          <w:rFonts w:ascii="华文行楷" w:hAnsi="宋体" w:eastAsia="华文行楷" w:cs="Times New Roman"/>
          <w:spacing w:val="40"/>
          <w:sz w:val="32"/>
          <w:szCs w:val="24"/>
        </w:rPr>
      </w:pPr>
    </w:p>
    <w:p w14:paraId="1D9C1A4C">
      <w:pPr>
        <w:ind w:firstLine="1050"/>
        <w:rPr>
          <w:rFonts w:ascii="华文行楷" w:hAnsi="宋体" w:eastAsia="华文行楷" w:cs="Times New Roman"/>
          <w:spacing w:val="40"/>
          <w:sz w:val="32"/>
          <w:szCs w:val="24"/>
        </w:rPr>
      </w:pPr>
    </w:p>
    <w:p w14:paraId="164F65DC">
      <w:pPr>
        <w:rPr>
          <w:rFonts w:ascii="华文行楷" w:hAnsi="宋体" w:eastAsia="华文行楷" w:cs="Times New Roman"/>
          <w:spacing w:val="-20"/>
          <w:sz w:val="36"/>
          <w:szCs w:val="36"/>
        </w:rPr>
      </w:pPr>
      <w:r>
        <w:rPr>
          <w:rFonts w:hint="eastAsia" w:ascii="华文行楷" w:hAnsi="宋体" w:eastAsia="华文行楷" w:cs="Times New Roman"/>
          <w:spacing w:val="-20"/>
          <w:sz w:val="36"/>
          <w:szCs w:val="36"/>
        </w:rPr>
        <w:t>毕业论文标题：公共体育场馆服务民营化改革中的政府职能</w:t>
      </w:r>
    </w:p>
    <w:p w14:paraId="36284DA0">
      <w:pPr>
        <w:ind w:firstLine="1050"/>
        <w:rPr>
          <w:rFonts w:ascii="宋体" w:hAnsi="宋体" w:eastAsia="宋体" w:cs="Times New Roman"/>
          <w:spacing w:val="40"/>
          <w:sz w:val="36"/>
          <w:szCs w:val="24"/>
        </w:rPr>
      </w:pPr>
    </w:p>
    <w:p w14:paraId="60470A96">
      <w:pPr>
        <w:ind w:firstLine="1440"/>
        <w:rPr>
          <w:rFonts w:ascii="华文行楷" w:hAnsi="宋体" w:eastAsia="华文行楷" w:cs="Times New Roman"/>
          <w:spacing w:val="-12"/>
          <w:sz w:val="36"/>
          <w:szCs w:val="24"/>
        </w:rPr>
      </w:pPr>
      <w:r>
        <w:rPr>
          <w:rFonts w:hint="eastAsia" w:ascii="华文行楷" w:hAnsi="宋体" w:eastAsia="华文行楷" w:cs="Times New Roman"/>
          <w:spacing w:val="-12"/>
          <w:sz w:val="36"/>
          <w:szCs w:val="24"/>
        </w:rPr>
        <w:t>分校工作站</w:t>
      </w:r>
      <w:r>
        <w:rPr>
          <w:rFonts w:hint="eastAsia" w:ascii="黑体" w:hAnsi="宋体" w:eastAsia="黑体" w:cs="Times New Roman"/>
          <w:spacing w:val="-12"/>
          <w:sz w:val="36"/>
          <w:szCs w:val="24"/>
        </w:rPr>
        <w:t>：</w:t>
      </w:r>
      <w:r>
        <w:rPr>
          <w:rFonts w:hint="eastAsia" w:ascii="华文行楷" w:hAnsi="宋体" w:eastAsia="华文行楷" w:cs="Times New Roman"/>
          <w:spacing w:val="-12"/>
          <w:sz w:val="36"/>
          <w:szCs w:val="24"/>
          <w:u w:val="single"/>
        </w:rPr>
        <w:t xml:space="preserve">        </w:t>
      </w:r>
      <w:r>
        <w:rPr>
          <w:rFonts w:hint="eastAsia" w:ascii="华文行楷" w:hAnsi="宋体" w:eastAsia="华文行楷" w:cs="Times New Roman"/>
          <w:spacing w:val="-12"/>
          <w:sz w:val="36"/>
          <w:szCs w:val="24"/>
          <w:u w:val="single"/>
          <w:lang w:val="en-US" w:eastAsia="zh-CN"/>
        </w:rPr>
        <w:t>XXXXXXXXX</w:t>
      </w:r>
      <w:r>
        <w:rPr>
          <w:rFonts w:hint="eastAsia" w:ascii="华文行楷" w:hAnsi="宋体" w:eastAsia="华文行楷" w:cs="Times New Roman"/>
          <w:spacing w:val="-12"/>
          <w:sz w:val="36"/>
          <w:szCs w:val="24"/>
          <w:u w:val="single"/>
        </w:rPr>
        <w:t xml:space="preserve">         </w:t>
      </w:r>
    </w:p>
    <w:p w14:paraId="737567D0">
      <w:pPr>
        <w:ind w:firstLine="1440"/>
        <w:rPr>
          <w:rFonts w:ascii="华文行楷" w:hAnsi="宋体" w:eastAsia="华文行楷"/>
          <w:spacing w:val="-12"/>
          <w:sz w:val="36"/>
          <w:szCs w:val="24"/>
        </w:rPr>
      </w:pPr>
      <w:r>
        <w:rPr>
          <w:rFonts w:hint="eastAsia" w:ascii="华文行楷" w:hAnsi="宋体" w:eastAsia="华文行楷" w:cs="Times New Roman"/>
          <w:spacing w:val="40"/>
          <w:sz w:val="36"/>
          <w:szCs w:val="24"/>
        </w:rPr>
        <w:t>班   级</w:t>
      </w:r>
      <w:r>
        <w:rPr>
          <w:rFonts w:hint="eastAsia" w:ascii="黑体" w:hAnsi="宋体" w:eastAsia="黑体" w:cs="Times New Roman"/>
          <w:spacing w:val="40"/>
          <w:sz w:val="36"/>
          <w:szCs w:val="24"/>
        </w:rPr>
        <w:t>：</w:t>
      </w:r>
      <w:r>
        <w:rPr>
          <w:rFonts w:hint="eastAsia" w:ascii="华文行楷" w:hAnsi="宋体" w:eastAsia="华文行楷"/>
          <w:spacing w:val="-12"/>
          <w:sz w:val="36"/>
          <w:szCs w:val="24"/>
          <w:u w:val="single"/>
        </w:rPr>
        <w:t xml:space="preserve">       </w:t>
      </w:r>
      <w:r>
        <w:rPr>
          <w:rFonts w:hint="eastAsia" w:ascii="华文行楷" w:hAnsi="宋体" w:eastAsia="华文行楷"/>
          <w:spacing w:val="-12"/>
          <w:sz w:val="36"/>
          <w:szCs w:val="24"/>
          <w:u w:val="single"/>
          <w:lang w:val="en-US" w:eastAsia="zh-CN"/>
        </w:rPr>
        <w:t xml:space="preserve">XXXXXXXXX  </w:t>
      </w:r>
      <w:r>
        <w:rPr>
          <w:rFonts w:hint="eastAsia" w:ascii="华文行楷" w:hAnsi="宋体" w:eastAsia="华文行楷"/>
          <w:spacing w:val="-12"/>
          <w:sz w:val="36"/>
          <w:szCs w:val="24"/>
          <w:u w:val="single"/>
        </w:rPr>
        <w:t xml:space="preserve">       </w:t>
      </w:r>
    </w:p>
    <w:p w14:paraId="6CF780B2">
      <w:pPr>
        <w:ind w:firstLine="1440"/>
        <w:rPr>
          <w:rFonts w:ascii="华文行楷" w:hAnsi="宋体" w:eastAsia="华文行楷"/>
          <w:spacing w:val="-12"/>
          <w:sz w:val="36"/>
          <w:szCs w:val="24"/>
        </w:rPr>
      </w:pPr>
      <w:r>
        <w:rPr>
          <w:rFonts w:hint="eastAsia" w:ascii="华文行楷" w:hAnsi="宋体" w:eastAsia="华文行楷" w:cs="Times New Roman"/>
          <w:spacing w:val="40"/>
          <w:sz w:val="36"/>
          <w:szCs w:val="24"/>
        </w:rPr>
        <w:t>姓   名</w:t>
      </w:r>
      <w:r>
        <w:rPr>
          <w:rFonts w:hint="eastAsia" w:ascii="黑体" w:hAnsi="宋体" w:eastAsia="黑体" w:cs="Times New Roman"/>
          <w:spacing w:val="40"/>
          <w:sz w:val="36"/>
          <w:szCs w:val="24"/>
        </w:rPr>
        <w:t>：</w:t>
      </w:r>
      <w:r>
        <w:rPr>
          <w:rFonts w:hint="eastAsia" w:ascii="华文行楷" w:hAnsi="宋体" w:eastAsia="华文行楷"/>
          <w:spacing w:val="-12"/>
          <w:sz w:val="36"/>
          <w:szCs w:val="24"/>
          <w:u w:val="single"/>
        </w:rPr>
        <w:t xml:space="preserve">         </w:t>
      </w:r>
      <w:r>
        <w:rPr>
          <w:rFonts w:hint="eastAsia" w:ascii="华文行楷" w:hAnsi="宋体" w:eastAsia="华文行楷"/>
          <w:spacing w:val="-12"/>
          <w:sz w:val="36"/>
          <w:szCs w:val="24"/>
          <w:u w:val="single"/>
          <w:lang w:val="en-US" w:eastAsia="zh-CN"/>
        </w:rPr>
        <w:t xml:space="preserve">XXXX      </w:t>
      </w:r>
      <w:r>
        <w:rPr>
          <w:rFonts w:hint="eastAsia" w:ascii="华文行楷" w:hAnsi="宋体" w:eastAsia="华文行楷"/>
          <w:spacing w:val="-12"/>
          <w:sz w:val="36"/>
          <w:szCs w:val="24"/>
          <w:u w:val="single"/>
        </w:rPr>
        <w:t xml:space="preserve">         </w:t>
      </w:r>
    </w:p>
    <w:p w14:paraId="139EF6A9">
      <w:pPr>
        <w:ind w:firstLine="1440"/>
        <w:rPr>
          <w:rFonts w:ascii="华文行楷" w:hAnsi="宋体" w:eastAsia="华文行楷"/>
          <w:spacing w:val="-12"/>
          <w:sz w:val="36"/>
          <w:szCs w:val="24"/>
        </w:rPr>
      </w:pPr>
      <w:r>
        <w:rPr>
          <w:rFonts w:hint="eastAsia" w:ascii="华文行楷" w:hAnsi="宋体" w:eastAsia="华文行楷" w:cs="Times New Roman"/>
          <w:spacing w:val="40"/>
          <w:sz w:val="36"/>
          <w:szCs w:val="24"/>
        </w:rPr>
        <w:t>学   号</w:t>
      </w:r>
      <w:r>
        <w:rPr>
          <w:rFonts w:hint="eastAsia" w:ascii="黑体" w:hAnsi="宋体" w:eastAsia="黑体" w:cs="Times New Roman"/>
          <w:spacing w:val="40"/>
          <w:sz w:val="36"/>
          <w:szCs w:val="24"/>
        </w:rPr>
        <w:t>：</w:t>
      </w:r>
      <w:r>
        <w:rPr>
          <w:rFonts w:hint="eastAsia" w:ascii="华文行楷" w:hAnsi="宋体" w:eastAsia="华文行楷"/>
          <w:spacing w:val="-12"/>
          <w:sz w:val="36"/>
          <w:szCs w:val="24"/>
          <w:u w:val="single"/>
        </w:rPr>
        <w:t xml:space="preserve">     </w:t>
      </w:r>
      <w:r>
        <w:rPr>
          <w:rFonts w:hint="eastAsia" w:ascii="华文行楷" w:hAnsi="宋体" w:eastAsia="华文行楷"/>
          <w:spacing w:val="-12"/>
          <w:sz w:val="36"/>
          <w:szCs w:val="24"/>
          <w:u w:val="single"/>
          <w:lang w:val="en-US" w:eastAsia="zh-CN"/>
        </w:rPr>
        <w:t>XXXXXXX</w:t>
      </w:r>
      <w:r>
        <w:rPr>
          <w:rFonts w:hint="eastAsia" w:ascii="华文行楷" w:hAnsi="宋体" w:eastAsia="华文行楷"/>
          <w:spacing w:val="-12"/>
          <w:sz w:val="36"/>
          <w:szCs w:val="24"/>
          <w:u w:val="single"/>
        </w:rPr>
        <w:t xml:space="preserve">      </w:t>
      </w:r>
      <w:r>
        <w:rPr>
          <w:rFonts w:hint="eastAsia" w:ascii="华文行楷" w:hAnsi="宋体" w:eastAsia="华文行楷"/>
          <w:spacing w:val="-12"/>
          <w:sz w:val="36"/>
          <w:szCs w:val="24"/>
          <w:u w:val="single"/>
          <w:lang w:val="en-US" w:eastAsia="zh-CN"/>
        </w:rPr>
        <w:t xml:space="preserve">     </w:t>
      </w:r>
      <w:r>
        <w:rPr>
          <w:rFonts w:hint="eastAsia" w:ascii="华文行楷" w:hAnsi="宋体" w:eastAsia="华文行楷"/>
          <w:spacing w:val="-12"/>
          <w:sz w:val="36"/>
          <w:szCs w:val="24"/>
          <w:u w:val="single"/>
        </w:rPr>
        <w:t xml:space="preserve">   </w:t>
      </w:r>
    </w:p>
    <w:p w14:paraId="0948716F">
      <w:pPr>
        <w:ind w:firstLine="1440"/>
        <w:rPr>
          <w:rFonts w:ascii="华文行楷" w:hAnsi="宋体" w:eastAsia="华文行楷"/>
          <w:spacing w:val="-12"/>
          <w:sz w:val="36"/>
          <w:szCs w:val="24"/>
        </w:rPr>
      </w:pPr>
      <w:r>
        <w:rPr>
          <w:rFonts w:hint="eastAsia" w:ascii="华文行楷" w:hAnsi="宋体" w:eastAsia="华文行楷" w:cs="Times New Roman"/>
          <w:spacing w:val="40"/>
          <w:sz w:val="36"/>
          <w:szCs w:val="24"/>
        </w:rPr>
        <w:t>指导教师</w:t>
      </w:r>
      <w:r>
        <w:rPr>
          <w:rFonts w:hint="eastAsia" w:ascii="黑体" w:hAnsi="宋体" w:eastAsia="黑体" w:cs="Times New Roman"/>
          <w:spacing w:val="40"/>
          <w:sz w:val="36"/>
          <w:szCs w:val="24"/>
        </w:rPr>
        <w:t>：</w:t>
      </w:r>
      <w:r>
        <w:rPr>
          <w:rFonts w:hint="eastAsia" w:ascii="华文行楷" w:hAnsi="宋体" w:eastAsia="华文行楷"/>
          <w:spacing w:val="-12"/>
          <w:sz w:val="36"/>
          <w:szCs w:val="24"/>
          <w:u w:val="single"/>
        </w:rPr>
        <w:t xml:space="preserve">        </w:t>
      </w:r>
      <w:r>
        <w:rPr>
          <w:rFonts w:hint="eastAsia" w:ascii="华文行楷" w:hAnsi="宋体" w:eastAsia="华文行楷"/>
          <w:spacing w:val="-12"/>
          <w:sz w:val="36"/>
          <w:szCs w:val="24"/>
          <w:u w:val="single"/>
          <w:lang w:val="en-US" w:eastAsia="zh-CN"/>
        </w:rPr>
        <w:t xml:space="preserve">XXXX   </w:t>
      </w:r>
      <w:r>
        <w:rPr>
          <w:rFonts w:hint="eastAsia" w:ascii="华文行楷" w:hAnsi="宋体" w:eastAsia="华文行楷"/>
          <w:spacing w:val="-12"/>
          <w:sz w:val="36"/>
          <w:szCs w:val="24"/>
          <w:u w:val="single"/>
        </w:rPr>
        <w:t xml:space="preserve">            </w:t>
      </w:r>
    </w:p>
    <w:p w14:paraId="5865C7A0">
      <w:pPr>
        <w:ind w:firstLine="1440"/>
        <w:rPr>
          <w:rFonts w:ascii="华文行楷" w:hAnsi="宋体" w:eastAsia="华文行楷" w:cs="Times New Roman"/>
          <w:spacing w:val="40"/>
          <w:sz w:val="32"/>
          <w:szCs w:val="24"/>
          <w:u w:val="single"/>
        </w:rPr>
      </w:pPr>
    </w:p>
    <w:p w14:paraId="5DDE460C">
      <w:pPr>
        <w:spacing w:line="400" w:lineRule="exact"/>
        <w:jc w:val="center"/>
        <w:rPr>
          <w:rFonts w:ascii="华文新魏" w:hAnsi="宋体" w:eastAsia="华文新魏" w:cs="Times New Roman"/>
          <w:sz w:val="32"/>
          <w:szCs w:val="24"/>
        </w:rPr>
      </w:pPr>
    </w:p>
    <w:p w14:paraId="54928730">
      <w:pPr>
        <w:spacing w:line="400" w:lineRule="exact"/>
        <w:jc w:val="center"/>
        <w:rPr>
          <w:rFonts w:ascii="华文新魏" w:hAnsi="宋体" w:eastAsia="华文新魏" w:cs="Times New Roman"/>
          <w:sz w:val="32"/>
          <w:szCs w:val="24"/>
        </w:rPr>
      </w:pPr>
    </w:p>
    <w:p w14:paraId="720E1F02">
      <w:pPr>
        <w:spacing w:line="400" w:lineRule="exact"/>
        <w:jc w:val="center"/>
        <w:rPr>
          <w:rFonts w:ascii="华文新魏" w:hAnsi="宋体" w:eastAsia="华文新魏" w:cs="Times New Roman"/>
          <w:sz w:val="32"/>
          <w:szCs w:val="24"/>
        </w:rPr>
      </w:pPr>
    </w:p>
    <w:p w14:paraId="18455655">
      <w:pPr>
        <w:spacing w:line="400" w:lineRule="exact"/>
        <w:jc w:val="center"/>
        <w:rPr>
          <w:rFonts w:ascii="华文新魏" w:hAnsi="宋体" w:eastAsia="华文新魏" w:cs="Times New Roman"/>
          <w:sz w:val="32"/>
          <w:szCs w:val="24"/>
        </w:rPr>
      </w:pPr>
    </w:p>
    <w:p w14:paraId="67E6684D">
      <w:pPr>
        <w:spacing w:line="400" w:lineRule="exact"/>
        <w:jc w:val="center"/>
        <w:rPr>
          <w:rFonts w:ascii="华文新魏" w:hAnsi="宋体" w:eastAsia="华文新魏" w:cs="Times New Roman"/>
          <w:sz w:val="32"/>
          <w:szCs w:val="24"/>
        </w:rPr>
      </w:pPr>
    </w:p>
    <w:p w14:paraId="7DB2644E">
      <w:pPr>
        <w:spacing w:line="400" w:lineRule="exact"/>
        <w:jc w:val="center"/>
        <w:rPr>
          <w:rFonts w:ascii="华文新魏" w:hAnsi="宋体" w:eastAsia="华文新魏" w:cs="Times New Roman"/>
          <w:sz w:val="32"/>
          <w:szCs w:val="24"/>
        </w:rPr>
      </w:pPr>
    </w:p>
    <w:p w14:paraId="4210CC61">
      <w:pPr>
        <w:spacing w:line="400" w:lineRule="exact"/>
        <w:jc w:val="center"/>
        <w:rPr>
          <w:rFonts w:ascii="华文新魏" w:hAnsi="宋体" w:eastAsia="华文新魏" w:cs="Times New Roman"/>
          <w:sz w:val="32"/>
          <w:szCs w:val="24"/>
        </w:rPr>
      </w:pPr>
    </w:p>
    <w:p w14:paraId="79AC6105">
      <w:pPr>
        <w:spacing w:line="400" w:lineRule="exact"/>
        <w:jc w:val="center"/>
        <w:rPr>
          <w:rFonts w:ascii="华文新魏" w:hAnsi="宋体" w:eastAsia="华文新魏" w:cs="Times New Roman"/>
          <w:sz w:val="32"/>
          <w:szCs w:val="24"/>
        </w:rPr>
      </w:pPr>
    </w:p>
    <w:p w14:paraId="24C1958D">
      <w:pPr>
        <w:spacing w:line="400" w:lineRule="exact"/>
        <w:rPr>
          <w:rFonts w:ascii="华文新魏" w:hAnsi="宋体" w:eastAsia="华文新魏" w:cs="Times New Roman"/>
          <w:sz w:val="32"/>
          <w:szCs w:val="24"/>
        </w:rPr>
      </w:pPr>
    </w:p>
    <w:p w14:paraId="5F1488DB">
      <w:pPr>
        <w:spacing w:line="400" w:lineRule="exact"/>
        <w:rPr>
          <w:rFonts w:ascii="Calibri" w:hAnsi="Calibri" w:eastAsia="宋体" w:cs="Arial"/>
          <w:color w:val="000000"/>
          <w:kern w:val="0"/>
          <w:sz w:val="24"/>
        </w:rPr>
      </w:pPr>
    </w:p>
    <w:p w14:paraId="40C8978F">
      <w:pPr>
        <w:tabs>
          <w:tab w:val="left" w:pos="1890"/>
          <w:tab w:val="left" w:pos="2100"/>
          <w:tab w:val="left" w:pos="7140"/>
          <w:tab w:val="left" w:pos="7350"/>
          <w:tab w:val="left" w:pos="7560"/>
        </w:tabs>
        <w:spacing w:line="400" w:lineRule="exact"/>
        <w:jc w:val="center"/>
        <w:rPr>
          <w:rFonts w:ascii="Times New Roman" w:hAnsi="Times New Roman" w:eastAsia="宋体" w:cs="Times New Roman"/>
          <w:szCs w:val="24"/>
        </w:rPr>
      </w:pPr>
      <w:bookmarkStart w:id="14" w:name="_GoBack"/>
      <w:r>
        <w:rPr>
          <w:rFonts w:hint="eastAsia" w:ascii="Times New Roman" w:hAnsi="Times New Roman" w:eastAsia="宋体" w:cs="Times New Roman"/>
          <w:b/>
          <w:sz w:val="30"/>
          <w:szCs w:val="24"/>
        </w:rPr>
        <w:t>学生论文答辩考核表</w:t>
      </w:r>
      <w:bookmarkEnd w:id="14"/>
    </w:p>
    <w:tbl>
      <w:tblPr>
        <w:tblStyle w:val="7"/>
        <w:tblW w:w="8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850"/>
        <w:gridCol w:w="320"/>
        <w:gridCol w:w="1537"/>
        <w:gridCol w:w="825"/>
        <w:gridCol w:w="8"/>
        <w:gridCol w:w="28"/>
        <w:gridCol w:w="4078"/>
      </w:tblGrid>
      <w:tr w14:paraId="0A4A2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0" w:hRule="atLeast"/>
        </w:trPr>
        <w:tc>
          <w:tcPr>
            <w:tcW w:w="1121" w:type="dxa"/>
          </w:tcPr>
          <w:p w14:paraId="4858C7F7">
            <w:pPr>
              <w:spacing w:line="400" w:lineRule="exact"/>
              <w:jc w:val="center"/>
              <w:rPr>
                <w:rFonts w:ascii="Times New Roman" w:hAnsi="Times New Roman" w:eastAsia="宋体" w:cs="Times New Roman"/>
                <w:szCs w:val="24"/>
              </w:rPr>
            </w:pPr>
            <w:r>
              <w:rPr>
                <w:rFonts w:hint="eastAsia" w:ascii="Times New Roman" w:hAnsi="Times New Roman" w:eastAsia="宋体" w:cs="Times New Roman"/>
                <w:szCs w:val="24"/>
              </w:rPr>
              <w:t>指导教师评语及初评成绩</w:t>
            </w:r>
          </w:p>
        </w:tc>
        <w:tc>
          <w:tcPr>
            <w:tcW w:w="7646" w:type="dxa"/>
            <w:gridSpan w:val="7"/>
          </w:tcPr>
          <w:p w14:paraId="19B31FF8">
            <w:pPr>
              <w:pStyle w:val="6"/>
              <w:spacing w:before="75" w:beforeAutospacing="0" w:line="330" w:lineRule="atLeast"/>
              <w:rPr>
                <w:rFonts w:hint="eastAsia"/>
                <w:sz w:val="21"/>
                <w:szCs w:val="21"/>
              </w:rPr>
            </w:pPr>
            <w:r>
              <w:rPr>
                <w:rFonts w:hint="eastAsia"/>
                <w:sz w:val="21"/>
                <w:szCs w:val="21"/>
                <w:lang w:val="en-US" w:eastAsia="zh-CN"/>
              </w:rPr>
              <w:t xml:space="preserve"> </w:t>
            </w:r>
          </w:p>
          <w:p w14:paraId="7CFF38DF">
            <w:pPr>
              <w:spacing w:line="400" w:lineRule="exact"/>
              <w:ind w:firstLine="4620" w:firstLineChars="2200"/>
              <w:rPr>
                <w:rFonts w:hint="eastAsia" w:ascii="Times New Roman" w:hAnsi="Times New Roman" w:eastAsia="宋体" w:cs="Times New Roman"/>
                <w:szCs w:val="24"/>
                <w:lang w:eastAsia="zh-CN"/>
              </w:rPr>
            </w:pPr>
            <w:r>
              <w:rPr>
                <w:rFonts w:hint="eastAsia" w:ascii="Times New Roman" w:hAnsi="Times New Roman" w:eastAsia="宋体" w:cs="Times New Roman"/>
                <w:szCs w:val="24"/>
              </w:rPr>
              <w:t>指导教师（签名）：</w:t>
            </w:r>
          </w:p>
          <w:p w14:paraId="69E0092D">
            <w:pPr>
              <w:spacing w:line="400" w:lineRule="exact"/>
              <w:rPr>
                <w:rFonts w:ascii="Times New Roman" w:hAnsi="Times New Roman" w:eastAsia="宋体" w:cs="Times New Roman"/>
                <w:szCs w:val="24"/>
              </w:rPr>
            </w:pPr>
            <w:r>
              <w:rPr>
                <w:rFonts w:hint="eastAsia"/>
                <w:sz w:val="24"/>
              </w:rPr>
              <w:t xml:space="preserve">初评成绩： </w:t>
            </w:r>
          </w:p>
          <w:p w14:paraId="4D26DFF1">
            <w:pPr>
              <w:spacing w:line="400" w:lineRule="exact"/>
              <w:ind w:firstLine="4620" w:firstLineChars="2200"/>
              <w:rPr>
                <w:rFonts w:ascii="Times New Roman" w:hAnsi="Times New Roman" w:eastAsia="宋体" w:cs="Times New Roman"/>
                <w:szCs w:val="24"/>
              </w:rPr>
            </w:pPr>
            <w:r>
              <w:rPr>
                <w:rFonts w:hint="eastAsia" w:ascii="Times New Roman" w:hAnsi="Times New Roman" w:eastAsia="宋体" w:cs="Times New Roman"/>
                <w:szCs w:val="24"/>
              </w:rPr>
              <w:t xml:space="preserve">年 </w:t>
            </w:r>
            <w:r>
              <w:rPr>
                <w:rFonts w:hint="eastAsia" w:ascii="Times New Roman" w:hAnsi="Times New Roman" w:eastAsia="宋体" w:cs="Times New Roman"/>
                <w:szCs w:val="24"/>
                <w:lang w:val="en-US" w:eastAsia="zh-CN"/>
              </w:rPr>
              <w:t xml:space="preserve">   </w:t>
            </w:r>
            <w:r>
              <w:rPr>
                <w:rFonts w:hint="eastAsia" w:ascii="Times New Roman" w:hAnsi="Times New Roman" w:eastAsia="宋体" w:cs="Times New Roman"/>
                <w:szCs w:val="24"/>
              </w:rPr>
              <w:t xml:space="preserve">月 </w:t>
            </w:r>
            <w:r>
              <w:rPr>
                <w:rFonts w:hint="eastAsia" w:ascii="Times New Roman" w:hAnsi="Times New Roman" w:eastAsia="宋体" w:cs="Times New Roman"/>
                <w:szCs w:val="24"/>
                <w:lang w:val="en-US" w:eastAsia="zh-CN"/>
              </w:rPr>
              <w:t xml:space="preserve">  </w:t>
            </w:r>
            <w:r>
              <w:rPr>
                <w:rFonts w:hint="eastAsia" w:ascii="Times New Roman" w:hAnsi="Times New Roman" w:eastAsia="宋体" w:cs="Times New Roman"/>
                <w:szCs w:val="24"/>
              </w:rPr>
              <w:t>日</w:t>
            </w:r>
          </w:p>
        </w:tc>
      </w:tr>
      <w:tr w14:paraId="25BC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1121" w:type="dxa"/>
            <w:vMerge w:val="restart"/>
            <w:vAlign w:val="center"/>
          </w:tcPr>
          <w:p w14:paraId="62BE615E">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答</w:t>
            </w:r>
          </w:p>
          <w:p w14:paraId="27B0D506">
            <w:pPr>
              <w:spacing w:line="400" w:lineRule="exact"/>
              <w:rPr>
                <w:rFonts w:ascii="Times New Roman" w:hAnsi="Times New Roman" w:eastAsia="宋体" w:cs="Times New Roman"/>
                <w:szCs w:val="24"/>
              </w:rPr>
            </w:pPr>
          </w:p>
          <w:p w14:paraId="27AFD76B">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辩</w:t>
            </w:r>
          </w:p>
          <w:p w14:paraId="5AFB2442">
            <w:pPr>
              <w:spacing w:line="400" w:lineRule="exact"/>
              <w:rPr>
                <w:rFonts w:ascii="Times New Roman" w:hAnsi="Times New Roman" w:eastAsia="宋体" w:cs="Times New Roman"/>
                <w:szCs w:val="24"/>
              </w:rPr>
            </w:pPr>
          </w:p>
          <w:p w14:paraId="31D02CB3">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记</w:t>
            </w:r>
          </w:p>
          <w:p w14:paraId="299471F9">
            <w:pPr>
              <w:spacing w:line="400" w:lineRule="exact"/>
              <w:rPr>
                <w:rFonts w:ascii="Times New Roman" w:hAnsi="Times New Roman" w:eastAsia="宋体" w:cs="Times New Roman"/>
                <w:szCs w:val="24"/>
              </w:rPr>
            </w:pPr>
          </w:p>
          <w:p w14:paraId="7CDFE13E">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录</w:t>
            </w:r>
          </w:p>
        </w:tc>
        <w:tc>
          <w:tcPr>
            <w:tcW w:w="850" w:type="dxa"/>
            <w:vAlign w:val="center"/>
          </w:tcPr>
          <w:p w14:paraId="2C82A2E3">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答辩主持人</w:t>
            </w:r>
          </w:p>
        </w:tc>
        <w:tc>
          <w:tcPr>
            <w:tcW w:w="2718" w:type="dxa"/>
            <w:gridSpan w:val="5"/>
            <w:tcBorders>
              <w:right w:val="nil"/>
            </w:tcBorders>
            <w:vAlign w:val="center"/>
          </w:tcPr>
          <w:p w14:paraId="71899A16">
            <w:pPr>
              <w:spacing w:line="400" w:lineRule="exact"/>
              <w:rPr>
                <w:rFonts w:ascii="Times New Roman" w:hAnsi="Times New Roman" w:eastAsia="宋体" w:cs="Times New Roman"/>
                <w:szCs w:val="24"/>
              </w:rPr>
            </w:pPr>
          </w:p>
        </w:tc>
        <w:tc>
          <w:tcPr>
            <w:tcW w:w="4078" w:type="dxa"/>
            <w:tcBorders>
              <w:left w:val="nil"/>
            </w:tcBorders>
            <w:vAlign w:val="center"/>
          </w:tcPr>
          <w:p w14:paraId="2E1C74DE">
            <w:pPr>
              <w:spacing w:line="400" w:lineRule="exact"/>
              <w:rPr>
                <w:rFonts w:ascii="Times New Roman" w:hAnsi="Times New Roman" w:eastAsia="宋体" w:cs="Times New Roman"/>
                <w:szCs w:val="24"/>
              </w:rPr>
            </w:pPr>
          </w:p>
        </w:tc>
      </w:tr>
      <w:tr w14:paraId="2C96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121" w:type="dxa"/>
            <w:vMerge w:val="continue"/>
            <w:vAlign w:val="center"/>
          </w:tcPr>
          <w:p w14:paraId="6730C3AD">
            <w:pPr>
              <w:spacing w:line="400" w:lineRule="exact"/>
              <w:rPr>
                <w:rFonts w:ascii="Times New Roman" w:hAnsi="Times New Roman" w:eastAsia="宋体" w:cs="Times New Roman"/>
                <w:szCs w:val="24"/>
              </w:rPr>
            </w:pPr>
          </w:p>
        </w:tc>
        <w:tc>
          <w:tcPr>
            <w:tcW w:w="850" w:type="dxa"/>
            <w:vAlign w:val="center"/>
          </w:tcPr>
          <w:p w14:paraId="239A4A87">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答辩小组成员</w:t>
            </w:r>
          </w:p>
        </w:tc>
        <w:tc>
          <w:tcPr>
            <w:tcW w:w="2718" w:type="dxa"/>
            <w:gridSpan w:val="5"/>
            <w:tcBorders>
              <w:right w:val="nil"/>
            </w:tcBorders>
            <w:vAlign w:val="center"/>
          </w:tcPr>
          <w:p w14:paraId="1450681F">
            <w:pPr>
              <w:spacing w:line="400" w:lineRule="exact"/>
              <w:rPr>
                <w:rFonts w:ascii="Times New Roman" w:hAnsi="Times New Roman" w:eastAsia="宋体" w:cs="Times New Roman"/>
                <w:szCs w:val="24"/>
              </w:rPr>
            </w:pPr>
          </w:p>
        </w:tc>
        <w:tc>
          <w:tcPr>
            <w:tcW w:w="4078" w:type="dxa"/>
            <w:tcBorders>
              <w:left w:val="nil"/>
            </w:tcBorders>
            <w:vAlign w:val="center"/>
          </w:tcPr>
          <w:p w14:paraId="6106B663">
            <w:pPr>
              <w:spacing w:line="400" w:lineRule="exact"/>
              <w:rPr>
                <w:rFonts w:ascii="Times New Roman" w:hAnsi="Times New Roman" w:eastAsia="宋体" w:cs="Times New Roman"/>
                <w:szCs w:val="24"/>
              </w:rPr>
            </w:pPr>
          </w:p>
        </w:tc>
      </w:tr>
      <w:tr w14:paraId="486DB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1121" w:type="dxa"/>
            <w:vMerge w:val="continue"/>
            <w:vAlign w:val="center"/>
          </w:tcPr>
          <w:p w14:paraId="227E5563">
            <w:pPr>
              <w:spacing w:line="400" w:lineRule="exact"/>
              <w:rPr>
                <w:rFonts w:ascii="Times New Roman" w:hAnsi="Times New Roman" w:eastAsia="宋体" w:cs="Times New Roman"/>
                <w:szCs w:val="24"/>
              </w:rPr>
            </w:pPr>
          </w:p>
        </w:tc>
        <w:tc>
          <w:tcPr>
            <w:tcW w:w="850" w:type="dxa"/>
            <w:vAlign w:val="center"/>
          </w:tcPr>
          <w:p w14:paraId="7359A088">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秘        书</w:t>
            </w:r>
          </w:p>
        </w:tc>
        <w:tc>
          <w:tcPr>
            <w:tcW w:w="2718" w:type="dxa"/>
            <w:gridSpan w:val="5"/>
            <w:tcBorders>
              <w:right w:val="nil"/>
            </w:tcBorders>
            <w:vAlign w:val="center"/>
          </w:tcPr>
          <w:p w14:paraId="0A383DDF">
            <w:pPr>
              <w:spacing w:line="400" w:lineRule="exact"/>
              <w:rPr>
                <w:rFonts w:ascii="Times New Roman" w:hAnsi="Times New Roman" w:eastAsia="宋体" w:cs="Times New Roman"/>
                <w:szCs w:val="24"/>
              </w:rPr>
            </w:pPr>
          </w:p>
        </w:tc>
        <w:tc>
          <w:tcPr>
            <w:tcW w:w="4078" w:type="dxa"/>
            <w:tcBorders>
              <w:left w:val="nil"/>
            </w:tcBorders>
            <w:vAlign w:val="center"/>
          </w:tcPr>
          <w:p w14:paraId="588EDBC7">
            <w:pPr>
              <w:spacing w:line="400" w:lineRule="exact"/>
              <w:rPr>
                <w:rFonts w:ascii="Times New Roman" w:hAnsi="Times New Roman" w:eastAsia="宋体" w:cs="Times New Roman"/>
                <w:szCs w:val="24"/>
              </w:rPr>
            </w:pPr>
          </w:p>
        </w:tc>
      </w:tr>
      <w:tr w14:paraId="236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121" w:type="dxa"/>
            <w:vMerge w:val="continue"/>
            <w:vAlign w:val="center"/>
          </w:tcPr>
          <w:p w14:paraId="787CD7A5">
            <w:pPr>
              <w:spacing w:line="400" w:lineRule="exact"/>
              <w:rPr>
                <w:rFonts w:ascii="Times New Roman" w:hAnsi="Times New Roman" w:eastAsia="宋体" w:cs="Times New Roman"/>
                <w:szCs w:val="24"/>
              </w:rPr>
            </w:pPr>
          </w:p>
        </w:tc>
        <w:tc>
          <w:tcPr>
            <w:tcW w:w="850" w:type="dxa"/>
            <w:vAlign w:val="center"/>
          </w:tcPr>
          <w:p w14:paraId="46CF55D2">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答辩日期</w:t>
            </w:r>
          </w:p>
        </w:tc>
        <w:tc>
          <w:tcPr>
            <w:tcW w:w="2718" w:type="dxa"/>
            <w:gridSpan w:val="5"/>
            <w:tcBorders>
              <w:right w:val="nil"/>
            </w:tcBorders>
            <w:vAlign w:val="center"/>
          </w:tcPr>
          <w:p w14:paraId="136A81F9">
            <w:pPr>
              <w:spacing w:line="400" w:lineRule="exact"/>
              <w:rPr>
                <w:rFonts w:ascii="Times New Roman" w:hAnsi="Times New Roman" w:eastAsia="宋体" w:cs="Times New Roman"/>
                <w:szCs w:val="24"/>
              </w:rPr>
            </w:pPr>
          </w:p>
        </w:tc>
        <w:tc>
          <w:tcPr>
            <w:tcW w:w="4078" w:type="dxa"/>
            <w:tcBorders>
              <w:left w:val="nil"/>
            </w:tcBorders>
            <w:vAlign w:val="center"/>
          </w:tcPr>
          <w:p w14:paraId="5F03ED54">
            <w:pPr>
              <w:spacing w:line="400" w:lineRule="exact"/>
              <w:rPr>
                <w:rFonts w:ascii="Times New Roman" w:hAnsi="Times New Roman" w:eastAsia="宋体" w:cs="Times New Roman"/>
                <w:szCs w:val="24"/>
              </w:rPr>
            </w:pPr>
          </w:p>
        </w:tc>
      </w:tr>
      <w:tr w14:paraId="692A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trPr>
        <w:tc>
          <w:tcPr>
            <w:tcW w:w="1121" w:type="dxa"/>
            <w:vMerge w:val="continue"/>
            <w:vAlign w:val="center"/>
          </w:tcPr>
          <w:p w14:paraId="1324B338">
            <w:pPr>
              <w:spacing w:line="400" w:lineRule="exact"/>
              <w:rPr>
                <w:rFonts w:ascii="Times New Roman" w:hAnsi="Times New Roman" w:eastAsia="宋体" w:cs="Times New Roman"/>
                <w:szCs w:val="24"/>
              </w:rPr>
            </w:pPr>
          </w:p>
        </w:tc>
        <w:tc>
          <w:tcPr>
            <w:tcW w:w="3540" w:type="dxa"/>
            <w:gridSpan w:val="5"/>
            <w:vAlign w:val="center"/>
          </w:tcPr>
          <w:p w14:paraId="220DD40D">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答辩教师提问</w:t>
            </w:r>
          </w:p>
        </w:tc>
        <w:tc>
          <w:tcPr>
            <w:tcW w:w="4106" w:type="dxa"/>
            <w:gridSpan w:val="2"/>
            <w:vAlign w:val="center"/>
          </w:tcPr>
          <w:p w14:paraId="62D27997">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学生回答情况</w:t>
            </w:r>
          </w:p>
        </w:tc>
      </w:tr>
      <w:tr w14:paraId="46F4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1121" w:type="dxa"/>
            <w:vMerge w:val="continue"/>
            <w:vAlign w:val="center"/>
          </w:tcPr>
          <w:p w14:paraId="6B3EC981">
            <w:pPr>
              <w:spacing w:line="400" w:lineRule="exact"/>
              <w:rPr>
                <w:rFonts w:ascii="Times New Roman" w:hAnsi="Times New Roman" w:eastAsia="宋体" w:cs="Times New Roman"/>
                <w:szCs w:val="24"/>
              </w:rPr>
            </w:pPr>
          </w:p>
        </w:tc>
        <w:tc>
          <w:tcPr>
            <w:tcW w:w="3532" w:type="dxa"/>
            <w:gridSpan w:val="4"/>
            <w:vAlign w:val="center"/>
          </w:tcPr>
          <w:p w14:paraId="687251A1">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 xml:space="preserve">1． </w:t>
            </w:r>
          </w:p>
        </w:tc>
        <w:tc>
          <w:tcPr>
            <w:tcW w:w="4114" w:type="dxa"/>
            <w:gridSpan w:val="3"/>
            <w:vAlign w:val="center"/>
          </w:tcPr>
          <w:p w14:paraId="63164C7E">
            <w:pPr>
              <w:widowControl/>
              <w:spacing w:line="400" w:lineRule="exact"/>
              <w:jc w:val="left"/>
              <w:rPr>
                <w:rFonts w:ascii="Times New Roman" w:hAnsi="Times New Roman" w:eastAsia="宋体" w:cs="Times New Roman"/>
                <w:szCs w:val="24"/>
              </w:rPr>
            </w:pPr>
          </w:p>
        </w:tc>
      </w:tr>
      <w:tr w14:paraId="6491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1121" w:type="dxa"/>
            <w:vMerge w:val="continue"/>
            <w:vAlign w:val="center"/>
          </w:tcPr>
          <w:p w14:paraId="1B95B02E">
            <w:pPr>
              <w:spacing w:line="400" w:lineRule="exact"/>
              <w:rPr>
                <w:rFonts w:ascii="Times New Roman" w:hAnsi="Times New Roman" w:eastAsia="宋体" w:cs="Times New Roman"/>
                <w:szCs w:val="24"/>
              </w:rPr>
            </w:pPr>
          </w:p>
        </w:tc>
        <w:tc>
          <w:tcPr>
            <w:tcW w:w="3532" w:type="dxa"/>
            <w:gridSpan w:val="4"/>
            <w:vAlign w:val="center"/>
          </w:tcPr>
          <w:p w14:paraId="7CAB97A9">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 xml:space="preserve">2． </w:t>
            </w:r>
          </w:p>
        </w:tc>
        <w:tc>
          <w:tcPr>
            <w:tcW w:w="4114" w:type="dxa"/>
            <w:gridSpan w:val="3"/>
            <w:vAlign w:val="center"/>
          </w:tcPr>
          <w:p w14:paraId="4CF215C0">
            <w:pPr>
              <w:widowControl/>
              <w:spacing w:line="400" w:lineRule="exact"/>
              <w:jc w:val="left"/>
              <w:rPr>
                <w:rFonts w:ascii="Times New Roman" w:hAnsi="Times New Roman" w:eastAsia="宋体" w:cs="Times New Roman"/>
                <w:szCs w:val="24"/>
              </w:rPr>
            </w:pPr>
          </w:p>
        </w:tc>
      </w:tr>
      <w:tr w14:paraId="69D0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121" w:type="dxa"/>
            <w:vMerge w:val="continue"/>
            <w:vAlign w:val="center"/>
          </w:tcPr>
          <w:p w14:paraId="164E870D">
            <w:pPr>
              <w:spacing w:line="400" w:lineRule="exact"/>
              <w:rPr>
                <w:rFonts w:ascii="Times New Roman" w:hAnsi="Times New Roman" w:eastAsia="宋体" w:cs="Times New Roman"/>
                <w:szCs w:val="24"/>
              </w:rPr>
            </w:pPr>
          </w:p>
        </w:tc>
        <w:tc>
          <w:tcPr>
            <w:tcW w:w="3532" w:type="dxa"/>
            <w:gridSpan w:val="4"/>
          </w:tcPr>
          <w:p w14:paraId="1606FA04">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 xml:space="preserve">3． </w:t>
            </w:r>
          </w:p>
        </w:tc>
        <w:tc>
          <w:tcPr>
            <w:tcW w:w="4114" w:type="dxa"/>
            <w:gridSpan w:val="3"/>
            <w:vAlign w:val="center"/>
          </w:tcPr>
          <w:p w14:paraId="6E671734">
            <w:pPr>
              <w:widowControl/>
              <w:spacing w:line="400" w:lineRule="exact"/>
              <w:jc w:val="left"/>
              <w:rPr>
                <w:rFonts w:ascii="Times New Roman" w:hAnsi="Times New Roman" w:eastAsia="宋体" w:cs="Times New Roman"/>
                <w:szCs w:val="24"/>
              </w:rPr>
            </w:pPr>
          </w:p>
        </w:tc>
      </w:tr>
      <w:tr w14:paraId="1441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trPr>
        <w:tc>
          <w:tcPr>
            <w:tcW w:w="1121" w:type="dxa"/>
            <w:vAlign w:val="center"/>
          </w:tcPr>
          <w:p w14:paraId="7EBD979F">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答辩小</w:t>
            </w:r>
          </w:p>
          <w:p w14:paraId="6C355069">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组评语</w:t>
            </w:r>
          </w:p>
        </w:tc>
        <w:tc>
          <w:tcPr>
            <w:tcW w:w="7646" w:type="dxa"/>
            <w:gridSpan w:val="7"/>
            <w:vAlign w:val="center"/>
          </w:tcPr>
          <w:p w14:paraId="7630CC3E">
            <w:pPr>
              <w:widowControl/>
              <w:spacing w:line="400" w:lineRule="exact"/>
              <w:jc w:val="left"/>
              <w:rPr>
                <w:rFonts w:ascii="Times New Roman" w:hAnsi="Times New Roman" w:eastAsia="宋体" w:cs="Times New Roman"/>
                <w:szCs w:val="24"/>
              </w:rPr>
            </w:pPr>
          </w:p>
          <w:p w14:paraId="7220319C">
            <w:pPr>
              <w:widowControl/>
              <w:spacing w:line="400" w:lineRule="exact"/>
              <w:ind w:firstLine="5250"/>
              <w:jc w:val="left"/>
              <w:rPr>
                <w:rFonts w:ascii="Times New Roman" w:hAnsi="Times New Roman" w:eastAsia="宋体" w:cs="Times New Roman"/>
                <w:szCs w:val="24"/>
              </w:rPr>
            </w:pPr>
            <w:r>
              <w:rPr>
                <w:rFonts w:hint="eastAsia" w:ascii="Times New Roman" w:hAnsi="Times New Roman" w:eastAsia="宋体" w:cs="Times New Roman"/>
                <w:szCs w:val="24"/>
              </w:rPr>
              <w:t>答辩主持人（签名）：</w:t>
            </w:r>
          </w:p>
          <w:p w14:paraId="0CB8950E">
            <w:pPr>
              <w:widowControl/>
              <w:spacing w:line="400" w:lineRule="exact"/>
              <w:jc w:val="left"/>
              <w:rPr>
                <w:rFonts w:ascii="Times New Roman" w:hAnsi="Times New Roman" w:eastAsia="宋体" w:cs="Times New Roman"/>
                <w:szCs w:val="24"/>
              </w:rPr>
            </w:pPr>
            <w:r>
              <w:rPr>
                <w:rFonts w:hint="eastAsia" w:ascii="Times New Roman" w:hAnsi="Times New Roman" w:eastAsia="宋体" w:cs="Times New Roman"/>
                <w:szCs w:val="24"/>
              </w:rPr>
              <w:t xml:space="preserve">                                                  年    月   日</w:t>
            </w:r>
          </w:p>
        </w:tc>
      </w:tr>
      <w:tr w14:paraId="53E1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291" w:type="dxa"/>
            <w:gridSpan w:val="3"/>
            <w:vAlign w:val="center"/>
          </w:tcPr>
          <w:p w14:paraId="580823E0">
            <w:pPr>
              <w:spacing w:line="400" w:lineRule="exact"/>
              <w:jc w:val="center"/>
              <w:rPr>
                <w:rFonts w:ascii="Times New Roman" w:hAnsi="Times New Roman" w:eastAsia="宋体" w:cs="Times New Roman"/>
                <w:szCs w:val="24"/>
              </w:rPr>
            </w:pPr>
            <w:r>
              <w:rPr>
                <w:rFonts w:hint="eastAsia" w:ascii="Times New Roman" w:hAnsi="Times New Roman" w:eastAsia="宋体" w:cs="Times New Roman"/>
                <w:szCs w:val="24"/>
              </w:rPr>
              <w:t>答辩成绩</w:t>
            </w:r>
          </w:p>
        </w:tc>
        <w:tc>
          <w:tcPr>
            <w:tcW w:w="1537" w:type="dxa"/>
            <w:vAlign w:val="center"/>
          </w:tcPr>
          <w:p w14:paraId="4BE71358">
            <w:pPr>
              <w:spacing w:line="400" w:lineRule="exact"/>
              <w:jc w:val="center"/>
              <w:rPr>
                <w:rFonts w:ascii="Times New Roman" w:hAnsi="Times New Roman" w:eastAsia="宋体" w:cs="Times New Roman"/>
                <w:szCs w:val="24"/>
              </w:rPr>
            </w:pPr>
          </w:p>
        </w:tc>
        <w:tc>
          <w:tcPr>
            <w:tcW w:w="4939" w:type="dxa"/>
            <w:gridSpan w:val="4"/>
            <w:vAlign w:val="center"/>
          </w:tcPr>
          <w:p w14:paraId="3F15AB94">
            <w:pPr>
              <w:spacing w:line="400" w:lineRule="exact"/>
              <w:rPr>
                <w:rFonts w:ascii="Times New Roman" w:hAnsi="Times New Roman" w:eastAsia="宋体" w:cs="Times New Roman"/>
                <w:szCs w:val="24"/>
              </w:rPr>
            </w:pPr>
            <w:r>
              <w:rPr>
                <w:rFonts w:hint="eastAsia" w:ascii="Times New Roman" w:hAnsi="Times New Roman" w:eastAsia="宋体" w:cs="Times New Roman"/>
                <w:szCs w:val="24"/>
              </w:rPr>
              <w:t>答辩主持人（签名）             年    月    日</w:t>
            </w:r>
          </w:p>
        </w:tc>
      </w:tr>
      <w:tr w14:paraId="38F5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121" w:type="dxa"/>
            <w:vAlign w:val="center"/>
          </w:tcPr>
          <w:p w14:paraId="637E7641">
            <w:pPr>
              <w:spacing w:line="400" w:lineRule="exact"/>
              <w:jc w:val="center"/>
              <w:rPr>
                <w:rFonts w:ascii="Times New Roman" w:hAnsi="Times New Roman" w:eastAsia="宋体" w:cs="Times New Roman"/>
                <w:szCs w:val="24"/>
              </w:rPr>
            </w:pPr>
            <w:r>
              <w:rPr>
                <w:rFonts w:hint="eastAsia" w:ascii="Times New Roman" w:hAnsi="Times New Roman" w:eastAsia="宋体" w:cs="Times New Roman"/>
                <w:szCs w:val="24"/>
              </w:rPr>
              <w:t>电大分校初审意见</w:t>
            </w:r>
          </w:p>
        </w:tc>
        <w:tc>
          <w:tcPr>
            <w:tcW w:w="7646" w:type="dxa"/>
            <w:gridSpan w:val="7"/>
            <w:vAlign w:val="center"/>
          </w:tcPr>
          <w:p w14:paraId="1C33C7C4">
            <w:pPr>
              <w:spacing w:line="400" w:lineRule="exact"/>
              <w:ind w:firstLine="4830"/>
              <w:rPr>
                <w:rFonts w:ascii="Times New Roman" w:hAnsi="Times New Roman" w:eastAsia="宋体" w:cs="Times New Roman"/>
                <w:szCs w:val="24"/>
              </w:rPr>
            </w:pPr>
            <w:r>
              <w:rPr>
                <w:rFonts w:hint="eastAsia" w:ascii="Times New Roman" w:hAnsi="Times New Roman" w:eastAsia="宋体" w:cs="Times New Roman"/>
                <w:szCs w:val="24"/>
              </w:rPr>
              <w:t>分校专业负责人（签名）：</w:t>
            </w:r>
          </w:p>
          <w:p w14:paraId="191CD764">
            <w:pPr>
              <w:spacing w:line="400" w:lineRule="exact"/>
              <w:ind w:firstLine="4095"/>
              <w:rPr>
                <w:rFonts w:ascii="Times New Roman" w:hAnsi="Times New Roman" w:eastAsia="宋体" w:cs="Times New Roman"/>
                <w:szCs w:val="24"/>
              </w:rPr>
            </w:pPr>
            <w:r>
              <w:rPr>
                <w:rFonts w:hint="eastAsia" w:ascii="Times New Roman" w:hAnsi="Times New Roman" w:eastAsia="宋体" w:cs="Times New Roman"/>
                <w:szCs w:val="24"/>
              </w:rPr>
              <w:t xml:space="preserve">                 年    月    日</w:t>
            </w:r>
          </w:p>
        </w:tc>
      </w:tr>
      <w:tr w14:paraId="2E0D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121" w:type="dxa"/>
            <w:vAlign w:val="center"/>
          </w:tcPr>
          <w:p w14:paraId="126FEE32">
            <w:pPr>
              <w:spacing w:line="400" w:lineRule="exact"/>
              <w:jc w:val="center"/>
              <w:rPr>
                <w:rFonts w:ascii="Times New Roman" w:hAnsi="Times New Roman" w:eastAsia="宋体" w:cs="Times New Roman"/>
                <w:szCs w:val="24"/>
              </w:rPr>
            </w:pPr>
            <w:r>
              <w:rPr>
                <w:rFonts w:hint="eastAsia" w:ascii="Times New Roman" w:hAnsi="Times New Roman" w:eastAsia="宋体" w:cs="Times New Roman"/>
                <w:szCs w:val="24"/>
              </w:rPr>
              <w:t>省级</w:t>
            </w:r>
          </w:p>
          <w:p w14:paraId="6DAF5172">
            <w:pPr>
              <w:spacing w:line="400" w:lineRule="exact"/>
              <w:jc w:val="center"/>
              <w:rPr>
                <w:rFonts w:ascii="Times New Roman" w:hAnsi="Times New Roman" w:eastAsia="宋体" w:cs="Times New Roman"/>
                <w:szCs w:val="24"/>
              </w:rPr>
            </w:pPr>
            <w:r>
              <w:rPr>
                <w:rFonts w:hint="eastAsia" w:ascii="Times New Roman" w:hAnsi="Times New Roman" w:eastAsia="宋体" w:cs="Times New Roman"/>
                <w:szCs w:val="24"/>
              </w:rPr>
              <w:t>电大</w:t>
            </w:r>
          </w:p>
          <w:p w14:paraId="225FCEE6">
            <w:pPr>
              <w:spacing w:line="400" w:lineRule="exact"/>
              <w:jc w:val="center"/>
              <w:rPr>
                <w:rFonts w:ascii="Times New Roman" w:hAnsi="Times New Roman" w:eastAsia="宋体" w:cs="Times New Roman"/>
                <w:szCs w:val="24"/>
              </w:rPr>
            </w:pPr>
            <w:r>
              <w:rPr>
                <w:rFonts w:hint="eastAsia" w:ascii="Times New Roman" w:hAnsi="Times New Roman" w:eastAsia="宋体" w:cs="Times New Roman"/>
                <w:szCs w:val="24"/>
              </w:rPr>
              <w:t>复审</w:t>
            </w:r>
          </w:p>
          <w:p w14:paraId="00A4CE6A">
            <w:pPr>
              <w:spacing w:line="400" w:lineRule="exact"/>
              <w:jc w:val="center"/>
              <w:rPr>
                <w:rFonts w:ascii="Times New Roman" w:hAnsi="Times New Roman" w:eastAsia="宋体" w:cs="Times New Roman"/>
                <w:szCs w:val="24"/>
              </w:rPr>
            </w:pPr>
            <w:r>
              <w:rPr>
                <w:rFonts w:hint="eastAsia" w:ascii="Times New Roman" w:hAnsi="Times New Roman" w:eastAsia="宋体" w:cs="Times New Roman"/>
                <w:szCs w:val="24"/>
              </w:rPr>
              <w:t>意见</w:t>
            </w:r>
          </w:p>
        </w:tc>
        <w:tc>
          <w:tcPr>
            <w:tcW w:w="7646" w:type="dxa"/>
            <w:gridSpan w:val="7"/>
          </w:tcPr>
          <w:p w14:paraId="79D9B61A">
            <w:pPr>
              <w:spacing w:line="400" w:lineRule="exact"/>
              <w:rPr>
                <w:rFonts w:ascii="Times New Roman" w:hAnsi="Times New Roman" w:eastAsia="宋体" w:cs="Times New Roman"/>
                <w:szCs w:val="24"/>
              </w:rPr>
            </w:pPr>
          </w:p>
          <w:p w14:paraId="7A47ED89">
            <w:pPr>
              <w:spacing w:line="400" w:lineRule="exact"/>
              <w:ind w:firstLine="4515" w:firstLineChars="2150"/>
              <w:rPr>
                <w:rFonts w:ascii="Times New Roman" w:hAnsi="Times New Roman" w:eastAsia="宋体" w:cs="Times New Roman"/>
                <w:szCs w:val="24"/>
              </w:rPr>
            </w:pPr>
            <w:r>
              <w:rPr>
                <w:rFonts w:hint="eastAsia" w:ascii="Times New Roman" w:hAnsi="Times New Roman" w:eastAsia="宋体" w:cs="Times New Roman"/>
                <w:szCs w:val="24"/>
              </w:rPr>
              <w:t>省级电大专业负责人（签名）：</w:t>
            </w:r>
          </w:p>
          <w:p w14:paraId="318FB918">
            <w:pPr>
              <w:spacing w:line="400" w:lineRule="exact"/>
              <w:ind w:firstLine="2940"/>
              <w:jc w:val="right"/>
              <w:rPr>
                <w:rFonts w:ascii="Times New Roman" w:hAnsi="Times New Roman" w:eastAsia="宋体" w:cs="Times New Roman"/>
                <w:szCs w:val="24"/>
              </w:rPr>
            </w:pPr>
            <w:r>
              <w:rPr>
                <w:rFonts w:hint="eastAsia" w:ascii="Times New Roman" w:hAnsi="Times New Roman" w:eastAsia="宋体" w:cs="Times New Roman"/>
                <w:szCs w:val="24"/>
              </w:rPr>
              <w:t xml:space="preserve">                          年    月    日</w:t>
            </w:r>
          </w:p>
        </w:tc>
      </w:tr>
    </w:tbl>
    <w:p w14:paraId="2072C2DF">
      <w:pPr>
        <w:spacing w:line="400" w:lineRule="exact"/>
        <w:ind w:right="193" w:rightChars="92"/>
        <w:rPr>
          <w:rFonts w:ascii="宋体" w:hAnsi="宋体" w:eastAsia="宋体" w:cs="Times New Roman"/>
          <w:szCs w:val="24"/>
        </w:rPr>
      </w:pPr>
      <w:r>
        <w:rPr>
          <w:rFonts w:hint="eastAsia" w:ascii="宋体" w:hAnsi="宋体" w:eastAsia="宋体" w:cs="Times New Roman"/>
          <w:szCs w:val="24"/>
        </w:rPr>
        <w:t>此表由工作站或教学点（班）自行复制，一式两份。</w:t>
      </w:r>
    </w:p>
    <w:p w14:paraId="13F09B40">
      <w:pPr>
        <w:rPr>
          <w:rFonts w:ascii="宋体" w:hAnsi="宋体" w:eastAsia="宋体" w:cs="Times New Roman"/>
          <w:b/>
          <w:sz w:val="32"/>
          <w:szCs w:val="32"/>
        </w:rPr>
      </w:pPr>
      <w:r>
        <w:rPr>
          <w:rFonts w:ascii="宋体" w:hAnsi="宋体" w:eastAsia="宋体" w:cs="Times New Roman"/>
          <w:b/>
          <w:sz w:val="32"/>
          <w:szCs w:val="32"/>
        </w:rPr>
        <w:br w:type="page"/>
      </w:r>
    </w:p>
    <w:p w14:paraId="6F61A65B">
      <w:pPr>
        <w:rPr>
          <w:rFonts w:ascii="宋体" w:hAnsi="宋体" w:eastAsia="宋体" w:cs="Times New Roman"/>
          <w:b/>
          <w:sz w:val="32"/>
          <w:szCs w:val="32"/>
        </w:rPr>
      </w:pPr>
    </w:p>
    <w:p w14:paraId="1AF43C3F">
      <w:pPr>
        <w:adjustRightInd w:val="0"/>
        <w:spacing w:line="400" w:lineRule="exact"/>
        <w:jc w:val="center"/>
        <w:textAlignment w:val="baseline"/>
        <w:rPr>
          <w:rFonts w:ascii="宋体" w:hAnsi="宋体" w:eastAsia="宋体" w:cs="Times New Roman"/>
          <w:b/>
          <w:sz w:val="32"/>
          <w:szCs w:val="32"/>
        </w:rPr>
      </w:pPr>
      <w:r>
        <w:rPr>
          <w:rFonts w:hint="eastAsia" w:ascii="宋体" w:hAnsi="宋体" w:eastAsia="宋体" w:cs="Times New Roman"/>
          <w:b/>
          <w:sz w:val="32"/>
          <w:szCs w:val="32"/>
        </w:rPr>
        <w:t>目录</w:t>
      </w:r>
    </w:p>
    <w:p w14:paraId="748FF7F2">
      <w:pPr>
        <w:pStyle w:val="4"/>
        <w:tabs>
          <w:tab w:val="right" w:leader="dot" w:pos="8306"/>
        </w:tabs>
        <w:spacing w:line="480" w:lineRule="auto"/>
        <w:rPr>
          <w:rFonts w:ascii="Times New Roman" w:hAnsi="Times New Roman" w:cs="Times New Roman"/>
          <w:b/>
          <w:bCs/>
          <w:sz w:val="24"/>
          <w:szCs w:val="28"/>
        </w:rPr>
      </w:pPr>
      <w:r>
        <w:rPr>
          <w:rFonts w:ascii="宋体" w:hAnsi="宋体" w:eastAsia="宋体" w:cs="Times New Roman"/>
          <w:b/>
          <w:sz w:val="22"/>
        </w:rPr>
        <w:fldChar w:fldCharType="begin"/>
      </w:r>
      <w:r>
        <w:rPr>
          <w:rFonts w:hint="eastAsia" w:ascii="宋体" w:hAnsi="宋体" w:eastAsia="宋体" w:cs="Times New Roman"/>
          <w:b/>
          <w:sz w:val="22"/>
        </w:rPr>
        <w:instrText xml:space="preserve">TOC \o "1-2" \h \z \u</w:instrText>
      </w:r>
      <w:r>
        <w:rPr>
          <w:rFonts w:ascii="宋体" w:hAnsi="宋体" w:eastAsia="宋体" w:cs="Times New Roman"/>
          <w:b/>
          <w:sz w:val="22"/>
        </w:rPr>
        <w:fldChar w:fldCharType="separate"/>
      </w:r>
      <w:r>
        <w:fldChar w:fldCharType="begin"/>
      </w:r>
      <w:r>
        <w:instrText xml:space="preserve"> HYPERLINK \l "_Toc2886" </w:instrText>
      </w:r>
      <w:r>
        <w:fldChar w:fldCharType="separate"/>
      </w:r>
      <w:r>
        <w:rPr>
          <w:rFonts w:ascii="Times New Roman" w:hAnsi="Times New Roman" w:cs="Times New Roman"/>
          <w:b/>
          <w:bCs/>
          <w:sz w:val="24"/>
          <w:szCs w:val="32"/>
        </w:rPr>
        <w:t xml:space="preserve">【摘要】 </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_Toc2886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1</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36BCCFF4">
      <w:pPr>
        <w:pStyle w:val="4"/>
        <w:tabs>
          <w:tab w:val="right" w:leader="dot" w:pos="8306"/>
        </w:tabs>
        <w:spacing w:line="480" w:lineRule="auto"/>
        <w:rPr>
          <w:rFonts w:ascii="Times New Roman" w:hAnsi="Times New Roman" w:cs="Times New Roman"/>
          <w:b/>
          <w:bCs/>
          <w:sz w:val="24"/>
          <w:szCs w:val="28"/>
        </w:rPr>
      </w:pPr>
      <w:r>
        <w:fldChar w:fldCharType="begin"/>
      </w:r>
      <w:r>
        <w:instrText xml:space="preserve"> HYPERLINK \l "_Toc31849" </w:instrText>
      </w:r>
      <w:r>
        <w:fldChar w:fldCharType="separate"/>
      </w:r>
      <w:r>
        <w:rPr>
          <w:rFonts w:ascii="Times New Roman" w:hAnsi="Times New Roman" w:cs="Times New Roman"/>
          <w:b/>
          <w:bCs/>
          <w:sz w:val="24"/>
          <w:szCs w:val="32"/>
        </w:rPr>
        <w:t>【关键词】</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_Toc31849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1</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260D56A7">
      <w:pPr>
        <w:pStyle w:val="4"/>
        <w:tabs>
          <w:tab w:val="right" w:leader="dot" w:pos="8306"/>
        </w:tabs>
        <w:spacing w:line="480" w:lineRule="auto"/>
        <w:rPr>
          <w:rFonts w:ascii="Times New Roman" w:hAnsi="Times New Roman" w:cs="Times New Roman"/>
          <w:b/>
          <w:bCs/>
          <w:sz w:val="24"/>
          <w:szCs w:val="28"/>
        </w:rPr>
      </w:pPr>
      <w:r>
        <w:fldChar w:fldCharType="begin"/>
      </w:r>
      <w:r>
        <w:instrText xml:space="preserve"> HYPERLINK \l "_Toc22033" </w:instrText>
      </w:r>
      <w:r>
        <w:fldChar w:fldCharType="separate"/>
      </w:r>
      <w:r>
        <w:rPr>
          <w:rFonts w:ascii="Times New Roman" w:hAnsi="Times New Roman" w:cs="Times New Roman"/>
          <w:b/>
          <w:bCs/>
          <w:sz w:val="24"/>
          <w:szCs w:val="36"/>
        </w:rPr>
        <w:t>一、 公共体育场馆服务民营化改革中政府责任的主要表现</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_Toc22033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1</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23B88A5B">
      <w:pPr>
        <w:pStyle w:val="4"/>
        <w:tabs>
          <w:tab w:val="right" w:leader="dot" w:pos="8306"/>
        </w:tabs>
        <w:spacing w:line="480" w:lineRule="auto"/>
        <w:rPr>
          <w:rFonts w:ascii="Times New Roman" w:hAnsi="Times New Roman" w:cs="Times New Roman"/>
          <w:b/>
          <w:bCs/>
          <w:sz w:val="24"/>
          <w:szCs w:val="28"/>
        </w:rPr>
      </w:pPr>
      <w:r>
        <w:fldChar w:fldCharType="begin"/>
      </w:r>
      <w:r>
        <w:instrText xml:space="preserve"> HYPERLINK \l "_Toc20566" </w:instrText>
      </w:r>
      <w:r>
        <w:fldChar w:fldCharType="separate"/>
      </w:r>
      <w:r>
        <w:rPr>
          <w:rFonts w:ascii="Times New Roman" w:hAnsi="Times New Roman" w:cs="Times New Roman"/>
          <w:b/>
          <w:bCs/>
          <w:sz w:val="24"/>
          <w:szCs w:val="32"/>
        </w:rPr>
        <w:t>二、 公共体育场馆服务民营化改革中政府的角色及改革路径</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_Toc20566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2</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30EBD483">
      <w:pPr>
        <w:pStyle w:val="5"/>
        <w:tabs>
          <w:tab w:val="right" w:leader="dot" w:pos="8306"/>
        </w:tabs>
        <w:spacing w:line="480" w:lineRule="auto"/>
        <w:rPr>
          <w:rFonts w:ascii="Times New Roman" w:hAnsi="Times New Roman" w:cs="Times New Roman"/>
          <w:b/>
          <w:bCs/>
          <w:sz w:val="24"/>
          <w:szCs w:val="28"/>
        </w:rPr>
      </w:pPr>
      <w:r>
        <w:fldChar w:fldCharType="begin"/>
      </w:r>
      <w:r>
        <w:instrText xml:space="preserve"> HYPERLINK \l "_Toc24701" </w:instrText>
      </w:r>
      <w:r>
        <w:fldChar w:fldCharType="separate"/>
      </w:r>
      <w:r>
        <w:rPr>
          <w:rFonts w:ascii="Times New Roman" w:hAnsi="Times New Roman" w:cs="Times New Roman"/>
          <w:b/>
          <w:bCs/>
          <w:sz w:val="24"/>
          <w:szCs w:val="32"/>
        </w:rPr>
        <w:t>（一） 设计者</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_Toc24701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2</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64C9B440">
      <w:pPr>
        <w:pStyle w:val="5"/>
        <w:tabs>
          <w:tab w:val="right" w:leader="dot" w:pos="8306"/>
        </w:tabs>
        <w:spacing w:line="480" w:lineRule="auto"/>
        <w:rPr>
          <w:rFonts w:ascii="Times New Roman" w:hAnsi="Times New Roman" w:cs="Times New Roman"/>
          <w:b/>
          <w:bCs/>
          <w:sz w:val="24"/>
          <w:szCs w:val="28"/>
        </w:rPr>
      </w:pPr>
      <w:r>
        <w:fldChar w:fldCharType="begin"/>
      </w:r>
      <w:r>
        <w:instrText xml:space="preserve"> HYPERLINK \l "_Toc13584" </w:instrText>
      </w:r>
      <w:r>
        <w:fldChar w:fldCharType="separate"/>
      </w:r>
      <w:r>
        <w:rPr>
          <w:rFonts w:ascii="Times New Roman" w:hAnsi="Times New Roman" w:cs="Times New Roman"/>
          <w:b/>
          <w:bCs/>
          <w:sz w:val="24"/>
          <w:szCs w:val="32"/>
        </w:rPr>
        <w:t>（二） 规划者</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_Toc13584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3</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2D76A2EC">
      <w:pPr>
        <w:pStyle w:val="5"/>
        <w:tabs>
          <w:tab w:val="right" w:leader="dot" w:pos="8306"/>
        </w:tabs>
        <w:spacing w:line="480" w:lineRule="auto"/>
        <w:rPr>
          <w:rFonts w:ascii="Times New Roman" w:hAnsi="Times New Roman" w:cs="Times New Roman"/>
          <w:b/>
          <w:bCs/>
          <w:sz w:val="24"/>
          <w:szCs w:val="28"/>
        </w:rPr>
      </w:pPr>
      <w:r>
        <w:fldChar w:fldCharType="begin"/>
      </w:r>
      <w:r>
        <w:instrText xml:space="preserve"> HYPERLINK \l "_Toc25197" </w:instrText>
      </w:r>
      <w:r>
        <w:fldChar w:fldCharType="separate"/>
      </w:r>
      <w:r>
        <w:rPr>
          <w:rFonts w:ascii="Times New Roman" w:hAnsi="Times New Roman" w:cs="Times New Roman"/>
          <w:b/>
          <w:bCs/>
          <w:sz w:val="24"/>
          <w:szCs w:val="32"/>
        </w:rPr>
        <w:t>（三） 安排者</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_Toc25197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3</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401FED38">
      <w:pPr>
        <w:pStyle w:val="5"/>
        <w:tabs>
          <w:tab w:val="right" w:leader="dot" w:pos="8306"/>
        </w:tabs>
        <w:spacing w:line="480" w:lineRule="auto"/>
        <w:rPr>
          <w:rFonts w:ascii="Times New Roman" w:hAnsi="Times New Roman" w:cs="Times New Roman"/>
          <w:b/>
          <w:bCs/>
          <w:sz w:val="24"/>
          <w:szCs w:val="28"/>
        </w:rPr>
      </w:pPr>
      <w:r>
        <w:fldChar w:fldCharType="begin"/>
      </w:r>
      <w:r>
        <w:instrText xml:space="preserve"> HYPERLINK \l "_Toc27272" </w:instrText>
      </w:r>
      <w:r>
        <w:fldChar w:fldCharType="separate"/>
      </w:r>
      <w:r>
        <w:rPr>
          <w:rFonts w:ascii="Times New Roman" w:hAnsi="Times New Roman" w:cs="Times New Roman"/>
          <w:b/>
          <w:bCs/>
          <w:sz w:val="24"/>
          <w:szCs w:val="32"/>
        </w:rPr>
        <w:t>（四） 培育者</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_Toc27272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3</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60C2B509">
      <w:pPr>
        <w:pStyle w:val="5"/>
        <w:tabs>
          <w:tab w:val="right" w:leader="dot" w:pos="8306"/>
        </w:tabs>
        <w:spacing w:line="480" w:lineRule="auto"/>
        <w:rPr>
          <w:rFonts w:ascii="Times New Roman" w:hAnsi="Times New Roman" w:cs="Times New Roman"/>
          <w:b/>
          <w:bCs/>
          <w:sz w:val="24"/>
          <w:szCs w:val="28"/>
        </w:rPr>
      </w:pPr>
      <w:r>
        <w:fldChar w:fldCharType="begin"/>
      </w:r>
      <w:r>
        <w:instrText xml:space="preserve"> HYPERLINK \l "_Toc11609" </w:instrText>
      </w:r>
      <w:r>
        <w:fldChar w:fldCharType="separate"/>
      </w:r>
      <w:r>
        <w:rPr>
          <w:rFonts w:ascii="Times New Roman" w:hAnsi="Times New Roman" w:cs="Times New Roman"/>
          <w:b/>
          <w:bCs/>
          <w:sz w:val="24"/>
          <w:szCs w:val="32"/>
        </w:rPr>
        <w:t>（五） 生产者</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_Toc11609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3</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3E2A149C">
      <w:pPr>
        <w:pStyle w:val="5"/>
        <w:tabs>
          <w:tab w:val="right" w:leader="dot" w:pos="8306"/>
        </w:tabs>
        <w:spacing w:line="480" w:lineRule="auto"/>
        <w:rPr>
          <w:rFonts w:ascii="Times New Roman" w:hAnsi="Times New Roman" w:cs="Times New Roman"/>
          <w:b/>
          <w:bCs/>
          <w:sz w:val="24"/>
          <w:szCs w:val="28"/>
        </w:rPr>
      </w:pPr>
      <w:r>
        <w:fldChar w:fldCharType="begin"/>
      </w:r>
      <w:r>
        <w:instrText xml:space="preserve"> HYPERLINK \l "_Toc28782" </w:instrText>
      </w:r>
      <w:r>
        <w:fldChar w:fldCharType="separate"/>
      </w:r>
      <w:r>
        <w:rPr>
          <w:rFonts w:ascii="Times New Roman" w:hAnsi="Times New Roman" w:cs="Times New Roman"/>
          <w:b/>
          <w:bCs/>
          <w:sz w:val="24"/>
          <w:szCs w:val="32"/>
        </w:rPr>
        <w:t>（六） 决策者</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_Toc28782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4</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4C539F5C">
      <w:pPr>
        <w:pStyle w:val="5"/>
        <w:tabs>
          <w:tab w:val="right" w:leader="dot" w:pos="8306"/>
        </w:tabs>
        <w:spacing w:line="480" w:lineRule="auto"/>
        <w:rPr>
          <w:rFonts w:ascii="Times New Roman" w:hAnsi="Times New Roman" w:cs="Times New Roman"/>
          <w:b/>
          <w:bCs/>
          <w:sz w:val="24"/>
          <w:szCs w:val="28"/>
        </w:rPr>
      </w:pPr>
      <w:r>
        <w:fldChar w:fldCharType="begin"/>
      </w:r>
      <w:r>
        <w:instrText xml:space="preserve"> HYPERLINK \l "_Toc28102" </w:instrText>
      </w:r>
      <w:r>
        <w:fldChar w:fldCharType="separate"/>
      </w:r>
      <w:r>
        <w:rPr>
          <w:rFonts w:ascii="Times New Roman" w:hAnsi="Times New Roman" w:cs="Times New Roman"/>
          <w:b/>
          <w:bCs/>
          <w:sz w:val="24"/>
          <w:szCs w:val="32"/>
        </w:rPr>
        <w:t>（七） 立法者</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_Toc28102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4</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3469BCA8">
      <w:pPr>
        <w:pStyle w:val="5"/>
        <w:tabs>
          <w:tab w:val="right" w:leader="dot" w:pos="8306"/>
        </w:tabs>
        <w:spacing w:line="480" w:lineRule="auto"/>
        <w:rPr>
          <w:rFonts w:ascii="Times New Roman" w:hAnsi="Times New Roman" w:cs="Times New Roman"/>
          <w:b/>
          <w:bCs/>
          <w:sz w:val="24"/>
          <w:szCs w:val="28"/>
        </w:rPr>
      </w:pPr>
      <w:r>
        <w:fldChar w:fldCharType="begin"/>
      </w:r>
      <w:r>
        <w:instrText xml:space="preserve"> HYPERLINK \l "_Toc9833" </w:instrText>
      </w:r>
      <w:r>
        <w:fldChar w:fldCharType="separate"/>
      </w:r>
      <w:r>
        <w:rPr>
          <w:rFonts w:ascii="Times New Roman" w:hAnsi="Times New Roman" w:cs="Times New Roman"/>
          <w:b/>
          <w:bCs/>
          <w:sz w:val="24"/>
          <w:szCs w:val="32"/>
        </w:rPr>
        <w:t>（八） 监管者</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_Toc9833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4</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5896FDFF">
      <w:pPr>
        <w:pStyle w:val="4"/>
        <w:tabs>
          <w:tab w:val="right" w:leader="dot" w:pos="8306"/>
        </w:tabs>
        <w:spacing w:line="480" w:lineRule="auto"/>
        <w:rPr>
          <w:rFonts w:ascii="Times New Roman" w:hAnsi="Times New Roman" w:cs="Times New Roman"/>
          <w:b/>
          <w:bCs/>
          <w:sz w:val="24"/>
          <w:szCs w:val="28"/>
        </w:rPr>
      </w:pPr>
      <w:r>
        <w:fldChar w:fldCharType="begin"/>
      </w:r>
      <w:r>
        <w:instrText xml:space="preserve"> HYPERLINK \l "_Toc7465" </w:instrText>
      </w:r>
      <w:r>
        <w:fldChar w:fldCharType="separate"/>
      </w:r>
      <w:r>
        <w:rPr>
          <w:rFonts w:ascii="Times New Roman" w:hAnsi="Times New Roman" w:cs="Times New Roman"/>
          <w:b/>
          <w:bCs/>
          <w:sz w:val="24"/>
          <w:szCs w:val="32"/>
        </w:rPr>
        <w:t>结语</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_Toc7465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4</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39C412A4">
      <w:pPr>
        <w:pStyle w:val="4"/>
        <w:tabs>
          <w:tab w:val="right" w:leader="dot" w:pos="8306"/>
        </w:tabs>
        <w:spacing w:line="480" w:lineRule="auto"/>
      </w:pPr>
      <w:r>
        <w:fldChar w:fldCharType="begin"/>
      </w:r>
      <w:r>
        <w:instrText xml:space="preserve"> HYPERLINK \l "_Toc32479" </w:instrText>
      </w:r>
      <w:r>
        <w:fldChar w:fldCharType="separate"/>
      </w:r>
      <w:r>
        <w:rPr>
          <w:rFonts w:ascii="Times New Roman" w:hAnsi="Times New Roman" w:cs="Times New Roman"/>
          <w:b/>
          <w:bCs/>
          <w:kern w:val="0"/>
          <w:sz w:val="24"/>
          <w:szCs w:val="36"/>
        </w:rPr>
        <w:t>【参考文献】</w:t>
      </w:r>
      <w:r>
        <w:rPr>
          <w:rFonts w:ascii="Times New Roman" w:hAnsi="Times New Roman" w:cs="Times New Roman"/>
          <w:b/>
          <w:bCs/>
          <w:sz w:val="24"/>
          <w:szCs w:val="28"/>
        </w:rPr>
        <w:tab/>
      </w:r>
      <w:r>
        <w:rPr>
          <w:rFonts w:ascii="Times New Roman" w:hAnsi="Times New Roman" w:cs="Times New Roman"/>
          <w:b/>
          <w:bCs/>
          <w:sz w:val="24"/>
          <w:szCs w:val="28"/>
        </w:rPr>
        <w:fldChar w:fldCharType="begin"/>
      </w:r>
      <w:r>
        <w:rPr>
          <w:rFonts w:ascii="Times New Roman" w:hAnsi="Times New Roman" w:cs="Times New Roman"/>
          <w:b/>
          <w:bCs/>
          <w:sz w:val="24"/>
          <w:szCs w:val="28"/>
        </w:rPr>
        <w:instrText xml:space="preserve"> PAGEREF _Toc32479 </w:instrText>
      </w:r>
      <w:r>
        <w:rPr>
          <w:rFonts w:ascii="Times New Roman" w:hAnsi="Times New Roman" w:cs="Times New Roman"/>
          <w:b/>
          <w:bCs/>
          <w:sz w:val="24"/>
          <w:szCs w:val="28"/>
        </w:rPr>
        <w:fldChar w:fldCharType="separate"/>
      </w:r>
      <w:r>
        <w:rPr>
          <w:rFonts w:ascii="Times New Roman" w:hAnsi="Times New Roman" w:cs="Times New Roman"/>
          <w:b/>
          <w:bCs/>
          <w:sz w:val="24"/>
          <w:szCs w:val="28"/>
        </w:rPr>
        <w:t>5</w:t>
      </w:r>
      <w:r>
        <w:rPr>
          <w:rFonts w:ascii="Times New Roman" w:hAnsi="Times New Roman" w:cs="Times New Roman"/>
          <w:b/>
          <w:bCs/>
          <w:sz w:val="24"/>
          <w:szCs w:val="28"/>
        </w:rPr>
        <w:fldChar w:fldCharType="end"/>
      </w:r>
      <w:r>
        <w:rPr>
          <w:rFonts w:ascii="Times New Roman" w:hAnsi="Times New Roman" w:cs="Times New Roman"/>
          <w:b/>
          <w:bCs/>
          <w:sz w:val="24"/>
          <w:szCs w:val="28"/>
        </w:rPr>
        <w:fldChar w:fldCharType="end"/>
      </w:r>
    </w:p>
    <w:p w14:paraId="2150DAA1">
      <w:pPr>
        <w:adjustRightInd w:val="0"/>
        <w:spacing w:line="600" w:lineRule="auto"/>
        <w:textAlignment w:val="baseline"/>
        <w:rPr>
          <w:rFonts w:ascii="宋体" w:hAnsi="宋体" w:eastAsia="宋体" w:cs="Times New Roman"/>
        </w:rPr>
      </w:pPr>
      <w:r>
        <w:rPr>
          <w:rFonts w:ascii="宋体" w:hAnsi="宋体" w:eastAsia="宋体" w:cs="Times New Roman"/>
        </w:rPr>
        <w:fldChar w:fldCharType="end"/>
      </w:r>
    </w:p>
    <w:p w14:paraId="2B9259FD">
      <w:pPr>
        <w:adjustRightInd w:val="0"/>
        <w:spacing w:line="600" w:lineRule="auto"/>
        <w:textAlignment w:val="baseline"/>
        <w:rPr>
          <w:rFonts w:ascii="宋体" w:hAnsi="宋体" w:eastAsia="宋体" w:cs="Times New Roman"/>
        </w:rPr>
      </w:pPr>
    </w:p>
    <w:p w14:paraId="32E37730">
      <w:pPr>
        <w:adjustRightInd w:val="0"/>
        <w:spacing w:line="600" w:lineRule="auto"/>
        <w:textAlignment w:val="baseline"/>
        <w:rPr>
          <w:rFonts w:ascii="宋体" w:hAnsi="宋体" w:eastAsia="宋体" w:cs="Times New Roman"/>
        </w:rPr>
      </w:pPr>
    </w:p>
    <w:p w14:paraId="2E04BDEE">
      <w:pPr>
        <w:adjustRightInd w:val="0"/>
        <w:spacing w:line="600" w:lineRule="auto"/>
        <w:textAlignment w:val="baseline"/>
        <w:rPr>
          <w:rFonts w:ascii="宋体" w:hAnsi="宋体" w:eastAsia="宋体" w:cs="Times New Roman"/>
        </w:rPr>
      </w:pPr>
    </w:p>
    <w:p w14:paraId="5A82AE54">
      <w:pPr>
        <w:adjustRightInd w:val="0"/>
        <w:spacing w:line="600" w:lineRule="auto"/>
        <w:textAlignment w:val="baseline"/>
        <w:rPr>
          <w:rFonts w:ascii="宋体" w:hAnsi="宋体" w:eastAsia="宋体" w:cs="Times New Roman"/>
        </w:rPr>
      </w:pPr>
    </w:p>
    <w:p w14:paraId="1488A73D">
      <w:pPr>
        <w:spacing w:beforeLines="50" w:line="400" w:lineRule="exact"/>
        <w:rPr>
          <w:rFonts w:ascii="宋体" w:hAnsi="宋体" w:eastAsia="宋体" w:cs="宋体"/>
          <w:b/>
          <w:sz w:val="32"/>
          <w:szCs w:val="32"/>
        </w:rPr>
        <w:sectPr>
          <w:pgSz w:w="11906" w:h="16838"/>
          <w:pgMar w:top="1440" w:right="1800" w:bottom="1440" w:left="1800" w:header="851" w:footer="992" w:gutter="0"/>
          <w:cols w:space="425" w:num="1"/>
          <w:docGrid w:type="lines" w:linePitch="312" w:charSpace="0"/>
        </w:sectPr>
      </w:pPr>
    </w:p>
    <w:p w14:paraId="6DF3C461">
      <w:pPr>
        <w:spacing w:beforeLines="50" w:line="400" w:lineRule="exact"/>
        <w:rPr>
          <w:rFonts w:ascii="宋体" w:hAnsi="宋体" w:eastAsia="宋体" w:cs="宋体"/>
          <w:b/>
          <w:sz w:val="32"/>
          <w:szCs w:val="32"/>
        </w:rPr>
      </w:pPr>
    </w:p>
    <w:p w14:paraId="64EB6CFD">
      <w:pPr>
        <w:spacing w:beforeLines="50" w:line="400" w:lineRule="exact"/>
        <w:jc w:val="center"/>
        <w:rPr>
          <w:rFonts w:ascii="宋体" w:hAnsi="宋体" w:eastAsia="宋体" w:cs="宋体"/>
          <w:b/>
          <w:sz w:val="36"/>
          <w:szCs w:val="36"/>
        </w:rPr>
      </w:pPr>
      <w:r>
        <w:rPr>
          <w:rFonts w:hint="eastAsia" w:ascii="宋体" w:hAnsi="宋体" w:eastAsia="宋体" w:cs="宋体"/>
          <w:b/>
          <w:sz w:val="36"/>
          <w:szCs w:val="36"/>
        </w:rPr>
        <w:t>公共体育场馆服务民营化改革中的政府职能</w:t>
      </w:r>
    </w:p>
    <w:p w14:paraId="02867A53">
      <w:pPr>
        <w:spacing w:beforeLines="50" w:line="400" w:lineRule="exact"/>
        <w:jc w:val="center"/>
        <w:rPr>
          <w:rFonts w:ascii="宋体" w:hAnsi="宋体" w:eastAsia="宋体" w:cs="宋体"/>
          <w:b/>
          <w:sz w:val="32"/>
          <w:szCs w:val="32"/>
        </w:rPr>
      </w:pPr>
    </w:p>
    <w:p w14:paraId="23AD3394">
      <w:pPr>
        <w:spacing w:beforeLines="50" w:line="400" w:lineRule="exact"/>
        <w:rPr>
          <w:rFonts w:ascii="宋体" w:hAnsi="宋体" w:eastAsia="宋体" w:cs="宋体"/>
          <w:sz w:val="24"/>
          <w:szCs w:val="24"/>
        </w:rPr>
      </w:pPr>
    </w:p>
    <w:p w14:paraId="29611AD0">
      <w:pPr>
        <w:spacing w:beforeLines="50" w:line="400" w:lineRule="exact"/>
        <w:ind w:firstLine="482" w:firstLineChars="200"/>
        <w:jc w:val="left"/>
        <w:outlineLvl w:val="0"/>
        <w:rPr>
          <w:rFonts w:ascii="宋体" w:hAnsi="宋体" w:eastAsia="宋体" w:cs="宋体"/>
          <w:sz w:val="24"/>
          <w:szCs w:val="24"/>
        </w:rPr>
      </w:pPr>
      <w:bookmarkStart w:id="0" w:name="_Toc2886"/>
      <w:r>
        <w:rPr>
          <w:rFonts w:hint="eastAsia" w:ascii="宋体" w:hAnsi="宋体" w:eastAsia="宋体" w:cs="宋体"/>
          <w:b/>
          <w:sz w:val="24"/>
          <w:szCs w:val="24"/>
        </w:rPr>
        <w:t xml:space="preserve">【摘要】  </w:t>
      </w:r>
      <w:r>
        <w:rPr>
          <w:rFonts w:hint="eastAsia" w:ascii="宋体" w:hAnsi="宋体" w:eastAsia="宋体" w:cs="宋体"/>
          <w:sz w:val="24"/>
          <w:szCs w:val="24"/>
        </w:rPr>
        <w:t>随着社会经济的迅猛发展和广大群众健康意识的不断深入，民众对公共体育场馆服务的需求与日俱增，而传统的公共体育场馆基本上是被政府垄断经营。所以公共服务民营化改革对我国政府的职能提出了新的挑战</w:t>
      </w:r>
      <w:r>
        <w:rPr>
          <w:rFonts w:ascii="宋体" w:hAnsi="宋体" w:eastAsia="宋体" w:cs="宋体"/>
          <w:sz w:val="24"/>
          <w:szCs w:val="24"/>
        </w:rPr>
        <w:t>,</w:t>
      </w:r>
      <w:r>
        <w:rPr>
          <w:rFonts w:hint="eastAsia" w:ascii="宋体" w:hAnsi="宋体" w:eastAsia="宋体" w:cs="宋体"/>
          <w:sz w:val="24"/>
          <w:szCs w:val="24"/>
        </w:rPr>
        <w:t>要求政府必须转变传统模式下的基本职能。</w:t>
      </w:r>
      <w:bookmarkEnd w:id="0"/>
    </w:p>
    <w:p w14:paraId="7CBF20A0">
      <w:pPr>
        <w:spacing w:beforeLines="50" w:line="400" w:lineRule="exact"/>
        <w:ind w:firstLine="480" w:firstLineChars="200"/>
        <w:jc w:val="left"/>
        <w:rPr>
          <w:rFonts w:ascii="宋体" w:hAnsi="宋体" w:eastAsia="宋体" w:cs="宋体"/>
          <w:sz w:val="24"/>
          <w:szCs w:val="24"/>
        </w:rPr>
      </w:pPr>
    </w:p>
    <w:p w14:paraId="21758410">
      <w:pPr>
        <w:spacing w:beforeLines="50" w:line="400" w:lineRule="exact"/>
        <w:jc w:val="left"/>
        <w:rPr>
          <w:rFonts w:ascii="宋体" w:hAnsi="宋体" w:eastAsia="宋体" w:cs="宋体"/>
          <w:b/>
          <w:sz w:val="24"/>
          <w:szCs w:val="24"/>
        </w:rPr>
      </w:pPr>
    </w:p>
    <w:p w14:paraId="5B191EE4">
      <w:pPr>
        <w:spacing w:beforeLines="50" w:line="400" w:lineRule="exact"/>
        <w:ind w:firstLine="482" w:firstLineChars="200"/>
        <w:jc w:val="left"/>
        <w:outlineLvl w:val="0"/>
        <w:rPr>
          <w:rFonts w:ascii="宋体" w:hAnsi="宋体" w:eastAsia="宋体" w:cs="宋体"/>
          <w:bCs/>
          <w:sz w:val="24"/>
          <w:szCs w:val="24"/>
        </w:rPr>
      </w:pPr>
      <w:bookmarkStart w:id="1" w:name="_Toc31849"/>
      <w:r>
        <w:rPr>
          <w:rFonts w:hint="eastAsia" w:ascii="宋体" w:hAnsi="宋体" w:eastAsia="宋体" w:cs="宋体"/>
          <w:b/>
          <w:sz w:val="24"/>
          <w:szCs w:val="24"/>
        </w:rPr>
        <w:t>【</w:t>
      </w:r>
      <w:r>
        <w:rPr>
          <w:rFonts w:hint="eastAsia" w:ascii="宋体" w:hAnsi="宋体" w:eastAsia="宋体" w:cs="宋体"/>
          <w:b/>
          <w:bCs/>
          <w:sz w:val="24"/>
          <w:szCs w:val="24"/>
        </w:rPr>
        <w:t>关键词</w:t>
      </w:r>
      <w:r>
        <w:rPr>
          <w:rFonts w:hint="eastAsia" w:ascii="宋体" w:hAnsi="宋体" w:eastAsia="宋体" w:cs="宋体"/>
          <w:b/>
          <w:sz w:val="24"/>
          <w:szCs w:val="24"/>
        </w:rPr>
        <w:t xml:space="preserve">】  </w:t>
      </w:r>
      <w:r>
        <w:rPr>
          <w:rFonts w:hint="eastAsia" w:ascii="宋体" w:hAnsi="宋体" w:eastAsia="宋体" w:cs="宋体"/>
          <w:bCs/>
          <w:sz w:val="24"/>
          <w:szCs w:val="24"/>
        </w:rPr>
        <w:t>公共体育场馆  政府职能  民营化  转变</w:t>
      </w:r>
      <w:bookmarkEnd w:id="1"/>
    </w:p>
    <w:p w14:paraId="24DBCF06">
      <w:pPr>
        <w:spacing w:beforeLines="50" w:line="400" w:lineRule="exact"/>
        <w:ind w:firstLine="480" w:firstLineChars="200"/>
        <w:jc w:val="left"/>
        <w:rPr>
          <w:rFonts w:ascii="宋体" w:hAnsi="宋体" w:eastAsia="宋体" w:cs="宋体"/>
          <w:bCs/>
          <w:sz w:val="24"/>
          <w:szCs w:val="24"/>
        </w:rPr>
      </w:pPr>
    </w:p>
    <w:p w14:paraId="726E1384">
      <w:pPr>
        <w:spacing w:beforeLines="50" w:line="400" w:lineRule="exact"/>
        <w:ind w:firstLine="480" w:firstLineChars="200"/>
        <w:jc w:val="left"/>
        <w:rPr>
          <w:rFonts w:ascii="宋体" w:hAnsi="宋体" w:eastAsia="宋体" w:cs="宋体"/>
          <w:bCs/>
          <w:sz w:val="24"/>
          <w:szCs w:val="24"/>
        </w:rPr>
      </w:pPr>
    </w:p>
    <w:p w14:paraId="015B23E9">
      <w:pPr>
        <w:spacing w:beforeLines="50" w:afterLines="50" w:line="400" w:lineRule="exact"/>
        <w:jc w:val="center"/>
        <w:rPr>
          <w:rFonts w:ascii="宋体" w:hAnsi="宋体" w:eastAsia="宋体" w:cs="宋体"/>
          <w:b/>
          <w:bCs/>
          <w:sz w:val="28"/>
          <w:szCs w:val="28"/>
        </w:rPr>
      </w:pPr>
      <w:r>
        <w:rPr>
          <w:rFonts w:hint="eastAsia" w:ascii="宋体" w:hAnsi="宋体" w:eastAsia="宋体" w:cs="宋体"/>
          <w:b/>
          <w:bCs/>
          <w:sz w:val="28"/>
          <w:szCs w:val="28"/>
        </w:rPr>
        <w:t>引言</w:t>
      </w:r>
    </w:p>
    <w:p w14:paraId="5B21AA0D">
      <w:pPr>
        <w:spacing w:line="400" w:lineRule="exact"/>
        <w:ind w:firstLine="480" w:firstLineChars="200"/>
        <w:jc w:val="left"/>
        <w:rPr>
          <w:sz w:val="24"/>
          <w:szCs w:val="24"/>
        </w:rPr>
      </w:pPr>
      <w:r>
        <w:rPr>
          <w:rFonts w:hint="eastAsia"/>
          <w:sz w:val="24"/>
          <w:szCs w:val="24"/>
        </w:rPr>
        <w:t>随着社会经济的迅猛发展和广大群众健康意识的不断深入，民众对公共体育场馆服务的需求与日俱增，而传统的公共体育场馆基本上是被政府垄断经营。我国现有的体育场馆80%以上都存在设施落后、场馆闲置、使用效率低下等问题，再加上计划经济时代的惯有管理思维使政府财力越来越不能满足公共体育场馆发展的需要，从而形成公共体育场馆严重的供需</w:t>
      </w:r>
    </w:p>
    <w:p w14:paraId="6929BD47">
      <w:pPr>
        <w:spacing w:line="400" w:lineRule="exact"/>
        <w:jc w:val="left"/>
        <w:rPr>
          <w:sz w:val="24"/>
          <w:szCs w:val="24"/>
        </w:rPr>
      </w:pPr>
      <w:r>
        <w:rPr>
          <w:rFonts w:hint="eastAsia"/>
          <w:sz w:val="24"/>
          <w:szCs w:val="24"/>
        </w:rPr>
        <w:t>矛盾。传统的由体育部门运营的制度安排日益捉襟见肘，无法满足广大群众的健康与娱乐所需，特别是对公共体育场馆的需求呈现出供不应求的局面。因此公共体育场馆服务民营化改革也就应运而生。公共体育场馆服务民营化改革的本质是公私部门合作治理，其中，政府所起的作用为重中之重。</w:t>
      </w:r>
    </w:p>
    <w:p w14:paraId="5770D27A">
      <w:pPr>
        <w:spacing w:line="400" w:lineRule="exact"/>
        <w:jc w:val="left"/>
        <w:rPr>
          <w:sz w:val="24"/>
          <w:szCs w:val="24"/>
        </w:rPr>
      </w:pPr>
    </w:p>
    <w:p w14:paraId="734DA160">
      <w:pPr>
        <w:numPr>
          <w:ilvl w:val="0"/>
          <w:numId w:val="1"/>
        </w:numPr>
        <w:spacing w:line="400" w:lineRule="exact"/>
        <w:jc w:val="left"/>
        <w:outlineLvl w:val="0"/>
        <w:rPr>
          <w:b/>
          <w:sz w:val="28"/>
          <w:szCs w:val="28"/>
        </w:rPr>
      </w:pPr>
      <w:bookmarkStart w:id="2" w:name="_Toc22033"/>
      <w:r>
        <w:rPr>
          <w:rFonts w:hint="eastAsia"/>
          <w:b/>
          <w:sz w:val="28"/>
          <w:szCs w:val="28"/>
        </w:rPr>
        <w:t>公共体育场馆服务民营化改革中政府责任的主要表现</w:t>
      </w:r>
      <w:bookmarkEnd w:id="2"/>
    </w:p>
    <w:p w14:paraId="7D59FFB7">
      <w:pPr>
        <w:spacing w:line="400" w:lineRule="exact"/>
        <w:ind w:left="1282"/>
        <w:jc w:val="left"/>
        <w:rPr>
          <w:b/>
          <w:sz w:val="28"/>
          <w:szCs w:val="28"/>
        </w:rPr>
      </w:pPr>
    </w:p>
    <w:p w14:paraId="3DE23CDB">
      <w:pPr>
        <w:spacing w:line="400" w:lineRule="exact"/>
        <w:ind w:firstLine="480" w:firstLineChars="200"/>
        <w:jc w:val="left"/>
        <w:rPr>
          <w:sz w:val="24"/>
          <w:szCs w:val="24"/>
        </w:rPr>
      </w:pPr>
      <w:r>
        <w:rPr>
          <w:rFonts w:hint="eastAsia"/>
          <w:sz w:val="24"/>
          <w:szCs w:val="24"/>
        </w:rPr>
        <w:t>公共体育场馆服务民营化改革潜藏风险和弊端，如：产权归属不明、服务核心偏移、社会责任和公共利益的缺失、新的腐败现象产生和大量国有资产的流失等，导致体育场馆市场竞争十分紊乱、严重影响了政府的公众形象。所以，政府在公共体育场馆服务民营化改革过程中政府不能对市场进行全面的干预，并不意味着免除了政府在民营化改革中的责任，而是重点放在民营化后存在的问题、强化民营化改革中的监督、规制等间接管理。具体而言，政府在公共体育场馆服务民营化改革应承担以下责任：</w:t>
      </w:r>
    </w:p>
    <w:p w14:paraId="528EDFBA">
      <w:pPr>
        <w:spacing w:line="400" w:lineRule="exact"/>
        <w:ind w:firstLine="480" w:firstLineChars="200"/>
        <w:jc w:val="left"/>
        <w:rPr>
          <w:sz w:val="24"/>
          <w:szCs w:val="24"/>
        </w:rPr>
      </w:pPr>
      <w:r>
        <w:rPr>
          <w:rFonts w:hint="eastAsia"/>
          <w:sz w:val="24"/>
          <w:szCs w:val="24"/>
        </w:rPr>
        <w:t>首先，引导民营化过程中的市场秩序责任公共体育场馆服务民营化改革归根到底是一次</w:t>
      </w:r>
    </w:p>
    <w:p w14:paraId="6F69C959">
      <w:pPr>
        <w:spacing w:line="400" w:lineRule="exact"/>
        <w:jc w:val="left"/>
        <w:rPr>
          <w:sz w:val="24"/>
          <w:szCs w:val="24"/>
        </w:rPr>
      </w:pPr>
      <w:r>
        <w:rPr>
          <w:rFonts w:hint="eastAsia"/>
          <w:sz w:val="24"/>
          <w:szCs w:val="24"/>
        </w:rPr>
        <w:t>政府行为，是社会主义市场经济条件下的一个制度变迁，政府作为行政制度改革的主要策划者、参与者。其次，积极营造良好的公共服务竞争环境从现有的经济发展规律来看，市场化是迅速提高公共体育服务效率的一个有效手段，良好的体育市场竞争环境是提高公共体育场馆服务效率的关键所在。还有，要树立科学的政府规制行为，防止国有资产的流失。国有资产的大量流失不但是我国经济改革的一个重要弊端，也使经济改革的成果大受影响，公共体</w:t>
      </w:r>
    </w:p>
    <w:p w14:paraId="56C2A96A">
      <w:pPr>
        <w:spacing w:line="400" w:lineRule="exact"/>
        <w:jc w:val="left"/>
        <w:rPr>
          <w:sz w:val="24"/>
          <w:szCs w:val="24"/>
        </w:rPr>
      </w:pPr>
      <w:r>
        <w:rPr>
          <w:rFonts w:hint="eastAsia"/>
          <w:sz w:val="24"/>
          <w:szCs w:val="24"/>
        </w:rPr>
        <w:t>育场馆服务民营化改革也是国家经济改革的一部分，因此在实际操作过程中由于公共体育场馆的经营权、管理体制权一旦出让给了民营部门，容易使国有资产脱离了政府的管辖范围，难免也会出现国有资产私有化的现象，针对这种现象，各级政府职能部门应该树立科学的市场信息规制意识，采取正确的市场经济规制措施，维护国家和人民的利益，避免国有资产的大量流失。最后，承担民营化过程中的监管责任。在公共体育场馆服务民营化改革过程中，由于民间组织经营的趋利性和经营信息的不对称性，如果政府部门对改革的进程不加以监管，极容易出现价格紊乱、服务质量下降、公共物品供给不合理、私人垄断等损害政府和公众利益的行为与现象。因此，政府应本着保障广大市民公众利益的理念，对改革过程中可能出现的问题要进行全方位的监督。</w:t>
      </w:r>
    </w:p>
    <w:p w14:paraId="513A201E">
      <w:pPr>
        <w:spacing w:line="400" w:lineRule="exact"/>
        <w:jc w:val="left"/>
        <w:rPr>
          <w:sz w:val="24"/>
          <w:szCs w:val="24"/>
        </w:rPr>
      </w:pPr>
    </w:p>
    <w:p w14:paraId="25FFAE45">
      <w:pPr>
        <w:numPr>
          <w:ilvl w:val="0"/>
          <w:numId w:val="1"/>
        </w:numPr>
        <w:spacing w:line="400" w:lineRule="exact"/>
        <w:jc w:val="left"/>
        <w:outlineLvl w:val="0"/>
        <w:rPr>
          <w:b/>
          <w:sz w:val="24"/>
          <w:szCs w:val="24"/>
        </w:rPr>
      </w:pPr>
      <w:bookmarkStart w:id="3" w:name="_Toc20566"/>
      <w:r>
        <w:rPr>
          <w:rFonts w:hint="eastAsia"/>
          <w:b/>
          <w:sz w:val="24"/>
          <w:szCs w:val="24"/>
        </w:rPr>
        <w:t>公共体育场馆服务民营化改革中政府的角色及改革路径</w:t>
      </w:r>
      <w:bookmarkEnd w:id="3"/>
    </w:p>
    <w:p w14:paraId="4158F8D0">
      <w:pPr>
        <w:spacing w:line="400" w:lineRule="exact"/>
        <w:ind w:left="420"/>
        <w:jc w:val="left"/>
        <w:rPr>
          <w:sz w:val="24"/>
          <w:szCs w:val="24"/>
        </w:rPr>
      </w:pPr>
    </w:p>
    <w:p w14:paraId="3D8ACD8E">
      <w:pPr>
        <w:spacing w:line="400" w:lineRule="exact"/>
        <w:ind w:firstLine="480" w:firstLineChars="200"/>
        <w:rPr>
          <w:sz w:val="24"/>
          <w:szCs w:val="24"/>
        </w:rPr>
      </w:pPr>
      <w:r>
        <w:rPr>
          <w:rFonts w:hint="eastAsia"/>
          <w:sz w:val="24"/>
          <w:szCs w:val="24"/>
        </w:rPr>
        <w:t>政府在公共服务民营化改革中</w:t>
      </w:r>
      <w:r>
        <w:rPr>
          <w:sz w:val="24"/>
          <w:szCs w:val="24"/>
        </w:rPr>
        <w:t xml:space="preserve">, </w:t>
      </w:r>
      <w:r>
        <w:rPr>
          <w:rFonts w:hint="eastAsia"/>
          <w:sz w:val="24"/>
          <w:szCs w:val="24"/>
        </w:rPr>
        <w:t>主要扮演着以下角色</w:t>
      </w:r>
      <w:r>
        <w:rPr>
          <w:sz w:val="24"/>
          <w:szCs w:val="24"/>
        </w:rPr>
        <w:t>:</w:t>
      </w:r>
    </w:p>
    <w:p w14:paraId="2A313137">
      <w:pPr>
        <w:spacing w:line="400" w:lineRule="exact"/>
        <w:ind w:firstLine="480" w:firstLineChars="200"/>
        <w:rPr>
          <w:sz w:val="24"/>
          <w:szCs w:val="24"/>
        </w:rPr>
      </w:pPr>
    </w:p>
    <w:p w14:paraId="0020B732">
      <w:pPr>
        <w:numPr>
          <w:ilvl w:val="0"/>
          <w:numId w:val="2"/>
        </w:numPr>
        <w:spacing w:line="400" w:lineRule="exact"/>
        <w:outlineLvl w:val="1"/>
        <w:rPr>
          <w:b/>
          <w:sz w:val="24"/>
          <w:szCs w:val="24"/>
        </w:rPr>
      </w:pPr>
      <w:bookmarkStart w:id="4" w:name="_Toc24701"/>
      <w:r>
        <w:rPr>
          <w:rFonts w:hint="eastAsia"/>
          <w:b/>
          <w:sz w:val="24"/>
          <w:szCs w:val="24"/>
        </w:rPr>
        <w:t>设计者</w:t>
      </w:r>
      <w:bookmarkEnd w:id="4"/>
    </w:p>
    <w:p w14:paraId="3A3897F2">
      <w:pPr>
        <w:spacing w:line="400" w:lineRule="exact"/>
        <w:ind w:firstLine="480" w:firstLineChars="200"/>
        <w:rPr>
          <w:sz w:val="24"/>
          <w:szCs w:val="24"/>
        </w:rPr>
      </w:pPr>
      <w:r>
        <w:rPr>
          <w:rFonts w:hint="eastAsia"/>
          <w:sz w:val="24"/>
          <w:szCs w:val="24"/>
        </w:rPr>
        <w:t>政府在公共服务民营化中的首要角色是民营化制度的设计者。公共服务民营化在中国属于新事物</w:t>
      </w:r>
      <w:r>
        <w:rPr>
          <w:sz w:val="24"/>
          <w:szCs w:val="24"/>
        </w:rPr>
        <w:t xml:space="preserve">, </w:t>
      </w:r>
      <w:r>
        <w:rPr>
          <w:rFonts w:hint="eastAsia"/>
          <w:sz w:val="24"/>
          <w:szCs w:val="24"/>
        </w:rPr>
        <w:t>根据公共利益理论</w:t>
      </w:r>
      <w:r>
        <w:rPr>
          <w:sz w:val="24"/>
          <w:szCs w:val="24"/>
        </w:rPr>
        <w:t xml:space="preserve">, </w:t>
      </w:r>
      <w:r>
        <w:rPr>
          <w:rFonts w:hint="eastAsia"/>
          <w:sz w:val="24"/>
          <w:szCs w:val="24"/>
        </w:rPr>
        <w:t>政府所提供的公共服务与人民生活息息相关</w:t>
      </w:r>
      <w:r>
        <w:rPr>
          <w:sz w:val="24"/>
          <w:szCs w:val="24"/>
        </w:rPr>
        <w:t xml:space="preserve">, </w:t>
      </w:r>
      <w:r>
        <w:rPr>
          <w:rFonts w:hint="eastAsia"/>
          <w:sz w:val="24"/>
          <w:szCs w:val="24"/>
        </w:rPr>
        <w:t>同时又是其他社会产品生产的前提和基础</w:t>
      </w:r>
      <w:r>
        <w:rPr>
          <w:sz w:val="24"/>
          <w:szCs w:val="24"/>
        </w:rPr>
        <w:t xml:space="preserve">, </w:t>
      </w:r>
      <w:r>
        <w:rPr>
          <w:rFonts w:hint="eastAsia"/>
          <w:sz w:val="24"/>
          <w:szCs w:val="24"/>
        </w:rPr>
        <w:t>在一定程度上</w:t>
      </w:r>
      <w:r>
        <w:rPr>
          <w:sz w:val="24"/>
          <w:szCs w:val="24"/>
        </w:rPr>
        <w:t xml:space="preserve">, </w:t>
      </w:r>
      <w:r>
        <w:rPr>
          <w:rFonts w:hint="eastAsia"/>
          <w:sz w:val="24"/>
          <w:szCs w:val="24"/>
        </w:rPr>
        <w:t>公共服务可谓社会经济生活的神经中枢</w:t>
      </w:r>
      <w:r>
        <w:rPr>
          <w:sz w:val="24"/>
          <w:szCs w:val="24"/>
        </w:rPr>
        <w:t xml:space="preserve">, </w:t>
      </w:r>
      <w:r>
        <w:rPr>
          <w:rFonts w:hint="eastAsia"/>
          <w:sz w:val="24"/>
          <w:szCs w:val="24"/>
        </w:rPr>
        <w:t>由谁经营</w:t>
      </w:r>
      <w:r>
        <w:rPr>
          <w:sz w:val="24"/>
          <w:szCs w:val="24"/>
        </w:rPr>
        <w:t xml:space="preserve">, </w:t>
      </w:r>
      <w:r>
        <w:rPr>
          <w:rFonts w:hint="eastAsia"/>
          <w:sz w:val="24"/>
          <w:szCs w:val="24"/>
        </w:rPr>
        <w:t>事关国计民生、国家的主权与安全。因此</w:t>
      </w:r>
      <w:r>
        <w:rPr>
          <w:sz w:val="24"/>
          <w:szCs w:val="24"/>
        </w:rPr>
        <w:t xml:space="preserve">, </w:t>
      </w:r>
      <w:r>
        <w:rPr>
          <w:rFonts w:hint="eastAsia"/>
          <w:sz w:val="24"/>
          <w:szCs w:val="24"/>
        </w:rPr>
        <w:t>公共服务民营化不可盲目进行</w:t>
      </w:r>
      <w:r>
        <w:rPr>
          <w:sz w:val="24"/>
          <w:szCs w:val="24"/>
        </w:rPr>
        <w:t xml:space="preserve">, </w:t>
      </w:r>
      <w:r>
        <w:rPr>
          <w:rFonts w:hint="eastAsia"/>
          <w:sz w:val="24"/>
          <w:szCs w:val="24"/>
        </w:rPr>
        <w:t>否则后果不堪设想。而且</w:t>
      </w:r>
      <w:r>
        <w:rPr>
          <w:sz w:val="24"/>
          <w:szCs w:val="24"/>
        </w:rPr>
        <w:t xml:space="preserve">, </w:t>
      </w:r>
      <w:r>
        <w:rPr>
          <w:rFonts w:hint="eastAsia"/>
          <w:sz w:val="24"/>
          <w:szCs w:val="24"/>
        </w:rPr>
        <w:t>从民营化自身的特点看</w:t>
      </w:r>
      <w:r>
        <w:rPr>
          <w:sz w:val="24"/>
          <w:szCs w:val="24"/>
        </w:rPr>
        <w:t xml:space="preserve">, </w:t>
      </w:r>
      <w:r>
        <w:rPr>
          <w:rFonts w:hint="eastAsia"/>
          <w:sz w:val="24"/>
          <w:szCs w:val="24"/>
        </w:rPr>
        <w:t>公共服务民营化改革涉及的范围非常广</w:t>
      </w:r>
      <w:r>
        <w:rPr>
          <w:sz w:val="24"/>
          <w:szCs w:val="24"/>
        </w:rPr>
        <w:t xml:space="preserve">, </w:t>
      </w:r>
      <w:r>
        <w:rPr>
          <w:rFonts w:hint="eastAsia"/>
          <w:sz w:val="24"/>
          <w:szCs w:val="24"/>
        </w:rPr>
        <w:t>改革的环节非常复杂</w:t>
      </w:r>
      <w:r>
        <w:rPr>
          <w:sz w:val="24"/>
          <w:szCs w:val="24"/>
        </w:rPr>
        <w:t xml:space="preserve">, </w:t>
      </w:r>
      <w:r>
        <w:rPr>
          <w:rFonts w:hint="eastAsia"/>
          <w:sz w:val="24"/>
          <w:szCs w:val="24"/>
        </w:rPr>
        <w:t>其政策涉及诸多方面</w:t>
      </w:r>
      <w:r>
        <w:rPr>
          <w:sz w:val="24"/>
          <w:szCs w:val="24"/>
        </w:rPr>
        <w:t xml:space="preserve">, </w:t>
      </w:r>
      <w:r>
        <w:rPr>
          <w:rFonts w:hint="eastAsia"/>
          <w:sz w:val="24"/>
          <w:szCs w:val="24"/>
        </w:rPr>
        <w:t>需要统筹安排、系统设计并配套进行</w:t>
      </w:r>
      <w:r>
        <w:rPr>
          <w:sz w:val="24"/>
          <w:szCs w:val="24"/>
        </w:rPr>
        <w:t xml:space="preserve">, </w:t>
      </w:r>
      <w:r>
        <w:rPr>
          <w:rFonts w:hint="eastAsia"/>
          <w:sz w:val="24"/>
          <w:szCs w:val="24"/>
        </w:rPr>
        <w:t>任何一项民营化方案的出台都需要经过周密考察与论证分析。政府必须要为公共服务民营化提供有效的制度保障</w:t>
      </w:r>
      <w:r>
        <w:rPr>
          <w:sz w:val="24"/>
          <w:szCs w:val="24"/>
        </w:rPr>
        <w:t xml:space="preserve">, </w:t>
      </w:r>
      <w:r>
        <w:rPr>
          <w:rFonts w:hint="eastAsia"/>
          <w:sz w:val="24"/>
          <w:szCs w:val="24"/>
        </w:rPr>
        <w:t>必须对公共服务民营化的范围、方式、程序与保障等重大问题作出总体设计</w:t>
      </w:r>
      <w:r>
        <w:rPr>
          <w:sz w:val="24"/>
          <w:szCs w:val="24"/>
        </w:rPr>
        <w:t xml:space="preserve">, </w:t>
      </w:r>
      <w:r>
        <w:rPr>
          <w:rFonts w:hint="eastAsia"/>
          <w:sz w:val="24"/>
          <w:szCs w:val="24"/>
        </w:rPr>
        <w:t>为民营化的实施提供良好的制度保障。</w:t>
      </w:r>
    </w:p>
    <w:p w14:paraId="50687E5E">
      <w:pPr>
        <w:spacing w:line="400" w:lineRule="exact"/>
        <w:ind w:firstLine="480" w:firstLineChars="200"/>
        <w:rPr>
          <w:sz w:val="24"/>
          <w:szCs w:val="24"/>
        </w:rPr>
      </w:pPr>
    </w:p>
    <w:p w14:paraId="5026BB2E">
      <w:pPr>
        <w:numPr>
          <w:ilvl w:val="0"/>
          <w:numId w:val="2"/>
        </w:numPr>
        <w:spacing w:line="400" w:lineRule="exact"/>
        <w:outlineLvl w:val="1"/>
        <w:rPr>
          <w:b/>
          <w:sz w:val="24"/>
          <w:szCs w:val="24"/>
        </w:rPr>
      </w:pPr>
      <w:bookmarkStart w:id="5" w:name="_Toc13584"/>
      <w:r>
        <w:rPr>
          <w:rFonts w:hint="eastAsia"/>
          <w:b/>
          <w:sz w:val="24"/>
          <w:szCs w:val="24"/>
        </w:rPr>
        <w:t>规划者</w:t>
      </w:r>
      <w:bookmarkEnd w:id="5"/>
    </w:p>
    <w:p w14:paraId="578E6722">
      <w:pPr>
        <w:spacing w:line="400" w:lineRule="exact"/>
        <w:ind w:firstLine="480" w:firstLineChars="200"/>
        <w:rPr>
          <w:sz w:val="24"/>
          <w:szCs w:val="24"/>
        </w:rPr>
      </w:pPr>
      <w:r>
        <w:rPr>
          <w:rFonts w:hint="eastAsia"/>
          <w:sz w:val="24"/>
          <w:szCs w:val="24"/>
        </w:rPr>
        <w:t>公共服务民营化在很大程度上是自上而下推行的制度变迁过程</w:t>
      </w:r>
      <w:r>
        <w:rPr>
          <w:sz w:val="24"/>
          <w:szCs w:val="24"/>
        </w:rPr>
        <w:t xml:space="preserve">, </w:t>
      </w:r>
      <w:r>
        <w:rPr>
          <w:rFonts w:hint="eastAsia"/>
          <w:sz w:val="24"/>
          <w:szCs w:val="24"/>
        </w:rPr>
        <w:t>涉及的利益范围非常广</w:t>
      </w:r>
      <w:r>
        <w:rPr>
          <w:sz w:val="24"/>
          <w:szCs w:val="24"/>
        </w:rPr>
        <w:t xml:space="preserve">, </w:t>
      </w:r>
      <w:r>
        <w:rPr>
          <w:rFonts w:hint="eastAsia"/>
          <w:sz w:val="24"/>
          <w:szCs w:val="24"/>
        </w:rPr>
        <w:t>它会影响到公私部门之间的利益分配</w:t>
      </w:r>
      <w:r>
        <w:rPr>
          <w:sz w:val="24"/>
          <w:szCs w:val="24"/>
        </w:rPr>
        <w:t xml:space="preserve">, </w:t>
      </w:r>
      <w:r>
        <w:rPr>
          <w:rFonts w:hint="eastAsia"/>
          <w:sz w:val="24"/>
          <w:szCs w:val="24"/>
        </w:rPr>
        <w:t>影响到公共服务的相关利益者等等</w:t>
      </w:r>
      <w:r>
        <w:rPr>
          <w:sz w:val="24"/>
          <w:szCs w:val="24"/>
        </w:rPr>
        <w:t xml:space="preserve">, </w:t>
      </w:r>
      <w:r>
        <w:rPr>
          <w:rFonts w:hint="eastAsia"/>
          <w:sz w:val="24"/>
          <w:szCs w:val="24"/>
        </w:rPr>
        <w:t>所有这些都是涉及到民营化的整体和全局的问题。因此</w:t>
      </w:r>
      <w:r>
        <w:rPr>
          <w:sz w:val="24"/>
          <w:szCs w:val="24"/>
        </w:rPr>
        <w:t xml:space="preserve">, </w:t>
      </w:r>
      <w:r>
        <w:rPr>
          <w:rFonts w:hint="eastAsia"/>
          <w:sz w:val="24"/>
          <w:szCs w:val="24"/>
        </w:rPr>
        <w:t>民营化成功如何</w:t>
      </w:r>
      <w:r>
        <w:rPr>
          <w:sz w:val="24"/>
          <w:szCs w:val="24"/>
        </w:rPr>
        <w:t>,</w:t>
      </w:r>
      <w:r>
        <w:rPr>
          <w:rFonts w:hint="eastAsia"/>
          <w:sz w:val="24"/>
          <w:szCs w:val="24"/>
        </w:rPr>
        <w:t>跟政府的规划息息相关。根据自然垄断理论</w:t>
      </w:r>
      <w:r>
        <w:rPr>
          <w:sz w:val="24"/>
          <w:szCs w:val="24"/>
        </w:rPr>
        <w:t xml:space="preserve">, </w:t>
      </w:r>
      <w:r>
        <w:rPr>
          <w:rFonts w:hint="eastAsia"/>
          <w:sz w:val="24"/>
          <w:szCs w:val="24"/>
        </w:rPr>
        <w:t>公用事业在进入市场化经营之前</w:t>
      </w:r>
      <w:r>
        <w:rPr>
          <w:sz w:val="24"/>
          <w:szCs w:val="24"/>
        </w:rPr>
        <w:t xml:space="preserve">, </w:t>
      </w:r>
      <w:r>
        <w:rPr>
          <w:rFonts w:hint="eastAsia"/>
          <w:sz w:val="24"/>
          <w:szCs w:val="24"/>
        </w:rPr>
        <w:t>必须要有科学合理的规划</w:t>
      </w:r>
      <w:r>
        <w:rPr>
          <w:sz w:val="24"/>
          <w:szCs w:val="24"/>
        </w:rPr>
        <w:t xml:space="preserve">, </w:t>
      </w:r>
      <w:r>
        <w:rPr>
          <w:rFonts w:hint="eastAsia"/>
          <w:sz w:val="24"/>
          <w:szCs w:val="24"/>
        </w:rPr>
        <w:t>必须要正确区分不同公共服务的自然垄断性与非自然垄断性</w:t>
      </w:r>
      <w:r>
        <w:rPr>
          <w:sz w:val="24"/>
          <w:szCs w:val="24"/>
        </w:rPr>
        <w:t xml:space="preserve">, </w:t>
      </w:r>
      <w:r>
        <w:rPr>
          <w:rFonts w:hint="eastAsia"/>
          <w:sz w:val="24"/>
          <w:szCs w:val="24"/>
        </w:rPr>
        <w:t>区分同一公共服务的自然垄断环节与非自然垄断环节</w:t>
      </w:r>
      <w:r>
        <w:rPr>
          <w:sz w:val="24"/>
          <w:szCs w:val="24"/>
        </w:rPr>
        <w:t xml:space="preserve">, </w:t>
      </w:r>
      <w:r>
        <w:rPr>
          <w:rFonts w:hint="eastAsia"/>
          <w:sz w:val="24"/>
          <w:szCs w:val="24"/>
        </w:rPr>
        <w:t>将那些具有非自然垄断性的公共服务、那些公共服务的非自然垄断环节推进民营化范畴。</w:t>
      </w:r>
    </w:p>
    <w:p w14:paraId="6C6AE40D">
      <w:pPr>
        <w:spacing w:line="400" w:lineRule="exact"/>
        <w:ind w:firstLine="480" w:firstLineChars="200"/>
        <w:rPr>
          <w:sz w:val="24"/>
          <w:szCs w:val="24"/>
        </w:rPr>
      </w:pPr>
    </w:p>
    <w:p w14:paraId="58C6229B">
      <w:pPr>
        <w:numPr>
          <w:ilvl w:val="0"/>
          <w:numId w:val="2"/>
        </w:numPr>
        <w:spacing w:line="400" w:lineRule="exact"/>
        <w:outlineLvl w:val="1"/>
        <w:rPr>
          <w:b/>
          <w:sz w:val="24"/>
          <w:szCs w:val="24"/>
        </w:rPr>
      </w:pPr>
      <w:bookmarkStart w:id="6" w:name="_Toc25197"/>
      <w:r>
        <w:rPr>
          <w:rFonts w:hint="eastAsia"/>
          <w:b/>
          <w:sz w:val="24"/>
          <w:szCs w:val="24"/>
        </w:rPr>
        <w:t>安排者</w:t>
      </w:r>
      <w:bookmarkEnd w:id="6"/>
    </w:p>
    <w:p w14:paraId="5A2946C1">
      <w:pPr>
        <w:spacing w:line="400" w:lineRule="exact"/>
        <w:ind w:firstLine="480" w:firstLineChars="200"/>
        <w:rPr>
          <w:sz w:val="24"/>
          <w:szCs w:val="24"/>
        </w:rPr>
      </w:pPr>
      <w:r>
        <w:rPr>
          <w:rFonts w:hint="eastAsia"/>
          <w:sz w:val="24"/>
          <w:szCs w:val="24"/>
        </w:rPr>
        <w:t>根据公共提供理论</w:t>
      </w:r>
      <w:r>
        <w:rPr>
          <w:sz w:val="24"/>
          <w:szCs w:val="24"/>
        </w:rPr>
        <w:t xml:space="preserve">, </w:t>
      </w:r>
      <w:r>
        <w:rPr>
          <w:rFonts w:hint="eastAsia"/>
          <w:sz w:val="24"/>
          <w:szCs w:val="24"/>
        </w:rPr>
        <w:t>政府不一定是公共服务的直接生产者</w:t>
      </w:r>
      <w:r>
        <w:rPr>
          <w:sz w:val="24"/>
          <w:szCs w:val="24"/>
        </w:rPr>
        <w:t xml:space="preserve">, </w:t>
      </w:r>
      <w:r>
        <w:rPr>
          <w:rFonts w:hint="eastAsia"/>
          <w:sz w:val="24"/>
          <w:szCs w:val="24"/>
        </w:rPr>
        <w:t>也不一定直接向消费者提供服务。在公共服务民营化的过程中</w:t>
      </w:r>
      <w:r>
        <w:rPr>
          <w:sz w:val="24"/>
          <w:szCs w:val="24"/>
        </w:rPr>
        <w:t xml:space="preserve">, </w:t>
      </w:r>
      <w:r>
        <w:rPr>
          <w:rFonts w:hint="eastAsia"/>
          <w:sz w:val="24"/>
          <w:szCs w:val="24"/>
        </w:rPr>
        <w:t>提供服务并非政府的义务</w:t>
      </w:r>
      <w:r>
        <w:rPr>
          <w:sz w:val="24"/>
          <w:szCs w:val="24"/>
        </w:rPr>
        <w:t xml:space="preserve">, </w:t>
      </w:r>
      <w:r>
        <w:rPr>
          <w:rFonts w:hint="eastAsia"/>
          <w:sz w:val="24"/>
          <w:szCs w:val="24"/>
        </w:rPr>
        <w:t>政府应该是服务的安排者</w:t>
      </w:r>
      <w:r>
        <w:rPr>
          <w:sz w:val="24"/>
          <w:szCs w:val="24"/>
        </w:rPr>
        <w:t xml:space="preserve">, </w:t>
      </w:r>
      <w:r>
        <w:rPr>
          <w:rFonts w:hint="eastAsia"/>
          <w:sz w:val="24"/>
          <w:szCs w:val="24"/>
        </w:rPr>
        <w:t>是“指派生产者给消费者</w:t>
      </w:r>
      <w:r>
        <w:rPr>
          <w:sz w:val="24"/>
          <w:szCs w:val="24"/>
        </w:rPr>
        <w:t xml:space="preserve">, </w:t>
      </w:r>
      <w:r>
        <w:rPr>
          <w:rFonts w:hint="eastAsia"/>
          <w:sz w:val="24"/>
          <w:szCs w:val="24"/>
        </w:rPr>
        <w:t>指派消费者给生产者</w:t>
      </w:r>
      <w:r>
        <w:rPr>
          <w:sz w:val="24"/>
          <w:szCs w:val="24"/>
        </w:rPr>
        <w:t xml:space="preserve">, </w:t>
      </w:r>
      <w:r>
        <w:rPr>
          <w:rFonts w:hint="eastAsia"/>
          <w:sz w:val="24"/>
          <w:szCs w:val="24"/>
        </w:rPr>
        <w:t>或选择服务的生产者”</w:t>
      </w:r>
      <w:r>
        <w:rPr>
          <w:sz w:val="24"/>
          <w:szCs w:val="24"/>
        </w:rPr>
        <w:t xml:space="preserve">, </w:t>
      </w:r>
      <w:r>
        <w:rPr>
          <w:rFonts w:hint="eastAsia"/>
          <w:sz w:val="24"/>
          <w:szCs w:val="24"/>
        </w:rPr>
        <w:t>即选择公共服务的提供者、制定公共服务的提供标准的等等</w:t>
      </w:r>
      <w:r>
        <w:rPr>
          <w:sz w:val="24"/>
          <w:szCs w:val="24"/>
        </w:rPr>
        <w:t xml:space="preserve">, </w:t>
      </w:r>
      <w:r>
        <w:rPr>
          <w:rFonts w:hint="eastAsia"/>
          <w:sz w:val="24"/>
          <w:szCs w:val="24"/>
        </w:rPr>
        <w:t>从而将消费者的需求转化成生产竞争交给民营部门去完成</w:t>
      </w:r>
      <w:r>
        <w:rPr>
          <w:sz w:val="24"/>
          <w:szCs w:val="24"/>
        </w:rPr>
        <w:t xml:space="preserve">, </w:t>
      </w:r>
      <w:r>
        <w:rPr>
          <w:rFonts w:hint="eastAsia"/>
          <w:sz w:val="24"/>
          <w:szCs w:val="24"/>
        </w:rPr>
        <w:t>保证公共服务的提供得以实现。</w:t>
      </w:r>
    </w:p>
    <w:p w14:paraId="34AD9CAA">
      <w:pPr>
        <w:spacing w:line="400" w:lineRule="exact"/>
        <w:ind w:firstLine="480" w:firstLineChars="200"/>
        <w:rPr>
          <w:sz w:val="24"/>
          <w:szCs w:val="24"/>
        </w:rPr>
      </w:pPr>
    </w:p>
    <w:p w14:paraId="254A49BF">
      <w:pPr>
        <w:numPr>
          <w:ilvl w:val="0"/>
          <w:numId w:val="2"/>
        </w:numPr>
        <w:spacing w:line="400" w:lineRule="exact"/>
        <w:outlineLvl w:val="1"/>
        <w:rPr>
          <w:b/>
          <w:sz w:val="24"/>
          <w:szCs w:val="24"/>
        </w:rPr>
      </w:pPr>
      <w:bookmarkStart w:id="7" w:name="_Toc27272"/>
      <w:r>
        <w:rPr>
          <w:rFonts w:hint="eastAsia"/>
          <w:b/>
          <w:sz w:val="24"/>
          <w:szCs w:val="24"/>
        </w:rPr>
        <w:t>培育者</w:t>
      </w:r>
      <w:bookmarkEnd w:id="7"/>
    </w:p>
    <w:p w14:paraId="536C22E5">
      <w:pPr>
        <w:spacing w:line="400" w:lineRule="exact"/>
        <w:ind w:firstLine="480" w:firstLineChars="200"/>
        <w:rPr>
          <w:sz w:val="24"/>
          <w:szCs w:val="24"/>
        </w:rPr>
      </w:pPr>
      <w:r>
        <w:rPr>
          <w:rFonts w:hint="eastAsia"/>
          <w:sz w:val="24"/>
          <w:szCs w:val="24"/>
        </w:rPr>
        <w:t>根据公共提供理论</w:t>
      </w:r>
      <w:r>
        <w:rPr>
          <w:sz w:val="24"/>
          <w:szCs w:val="24"/>
        </w:rPr>
        <w:t xml:space="preserve">, </w:t>
      </w:r>
      <w:r>
        <w:rPr>
          <w:rFonts w:hint="eastAsia"/>
          <w:sz w:val="24"/>
          <w:szCs w:val="24"/>
        </w:rPr>
        <w:t>将公共服务进行民营化</w:t>
      </w:r>
      <w:r>
        <w:rPr>
          <w:sz w:val="24"/>
          <w:szCs w:val="24"/>
        </w:rPr>
        <w:t xml:space="preserve">, </w:t>
      </w:r>
      <w:r>
        <w:rPr>
          <w:rFonts w:hint="eastAsia"/>
          <w:sz w:val="24"/>
          <w:szCs w:val="24"/>
        </w:rPr>
        <w:t>政府并不是公共物品的唯一供给者</w:t>
      </w:r>
      <w:r>
        <w:rPr>
          <w:sz w:val="24"/>
          <w:szCs w:val="24"/>
        </w:rPr>
        <w:t xml:space="preserve">, </w:t>
      </w:r>
      <w:r>
        <w:rPr>
          <w:rFonts w:hint="eastAsia"/>
          <w:sz w:val="24"/>
          <w:szCs w:val="24"/>
        </w:rPr>
        <w:t>市场和非政府组织也是公共服务的成功供给者</w:t>
      </w:r>
      <w:r>
        <w:rPr>
          <w:sz w:val="24"/>
          <w:szCs w:val="24"/>
        </w:rPr>
        <w:t xml:space="preserve">, </w:t>
      </w:r>
      <w:r>
        <w:rPr>
          <w:rFonts w:hint="eastAsia"/>
          <w:sz w:val="24"/>
          <w:szCs w:val="24"/>
        </w:rPr>
        <w:t>为保障公共服务民营化的顺利实施</w:t>
      </w:r>
      <w:r>
        <w:rPr>
          <w:sz w:val="24"/>
          <w:szCs w:val="24"/>
        </w:rPr>
        <w:t xml:space="preserve">, </w:t>
      </w:r>
      <w:r>
        <w:rPr>
          <w:rFonts w:hint="eastAsia"/>
          <w:sz w:val="24"/>
          <w:szCs w:val="24"/>
        </w:rPr>
        <w:t>政府必须要积极培育一批发育成熟、自我管理和自治能力都较强的公共服务民营主体。这就要求政府要转变观念</w:t>
      </w:r>
      <w:r>
        <w:rPr>
          <w:sz w:val="24"/>
          <w:szCs w:val="24"/>
        </w:rPr>
        <w:t xml:space="preserve">, </w:t>
      </w:r>
      <w:r>
        <w:rPr>
          <w:rFonts w:hint="eastAsia"/>
          <w:sz w:val="24"/>
          <w:szCs w:val="24"/>
        </w:rPr>
        <w:t>理顺政府与市场、非政府组织的关系</w:t>
      </w:r>
      <w:r>
        <w:rPr>
          <w:sz w:val="24"/>
          <w:szCs w:val="24"/>
        </w:rPr>
        <w:t xml:space="preserve">, </w:t>
      </w:r>
      <w:r>
        <w:rPr>
          <w:rFonts w:hint="eastAsia"/>
          <w:sz w:val="24"/>
          <w:szCs w:val="24"/>
        </w:rPr>
        <w:t>给予市场和非政府组织适当的行动权力空间</w:t>
      </w:r>
      <w:r>
        <w:rPr>
          <w:sz w:val="24"/>
          <w:szCs w:val="24"/>
        </w:rPr>
        <w:t xml:space="preserve">, </w:t>
      </w:r>
      <w:r>
        <w:rPr>
          <w:rFonts w:hint="eastAsia"/>
          <w:sz w:val="24"/>
          <w:szCs w:val="24"/>
        </w:rPr>
        <w:t>真正提高市场和非政府组织的自主性。要积极扶持</w:t>
      </w:r>
      <w:r>
        <w:rPr>
          <w:sz w:val="24"/>
          <w:szCs w:val="24"/>
        </w:rPr>
        <w:t xml:space="preserve">, </w:t>
      </w:r>
      <w:r>
        <w:rPr>
          <w:rFonts w:hint="eastAsia"/>
          <w:sz w:val="24"/>
          <w:szCs w:val="24"/>
        </w:rPr>
        <w:t>为市场和非政府组织的发展创造条件</w:t>
      </w:r>
      <w:r>
        <w:rPr>
          <w:sz w:val="24"/>
          <w:szCs w:val="24"/>
        </w:rPr>
        <w:t xml:space="preserve">, </w:t>
      </w:r>
      <w:r>
        <w:rPr>
          <w:rFonts w:hint="eastAsia"/>
          <w:sz w:val="24"/>
          <w:szCs w:val="24"/>
        </w:rPr>
        <w:t>提供人力、物力、财力特别是政策方面的资助</w:t>
      </w:r>
      <w:r>
        <w:rPr>
          <w:sz w:val="24"/>
          <w:szCs w:val="24"/>
        </w:rPr>
        <w:t xml:space="preserve">, </w:t>
      </w:r>
      <w:r>
        <w:rPr>
          <w:rFonts w:hint="eastAsia"/>
          <w:sz w:val="24"/>
          <w:szCs w:val="24"/>
        </w:rPr>
        <w:t>同时采取各种途径</w:t>
      </w:r>
      <w:r>
        <w:rPr>
          <w:sz w:val="24"/>
          <w:szCs w:val="24"/>
        </w:rPr>
        <w:t xml:space="preserve">, </w:t>
      </w:r>
      <w:r>
        <w:rPr>
          <w:rFonts w:hint="eastAsia"/>
          <w:sz w:val="24"/>
          <w:szCs w:val="24"/>
        </w:rPr>
        <w:t>加大宣传力度</w:t>
      </w:r>
      <w:r>
        <w:rPr>
          <w:sz w:val="24"/>
          <w:szCs w:val="24"/>
        </w:rPr>
        <w:t xml:space="preserve">, </w:t>
      </w:r>
      <w:r>
        <w:rPr>
          <w:rFonts w:hint="eastAsia"/>
          <w:sz w:val="24"/>
          <w:szCs w:val="24"/>
        </w:rPr>
        <w:t>按照公平、公开、公正的原则</w:t>
      </w:r>
      <w:r>
        <w:rPr>
          <w:sz w:val="24"/>
          <w:szCs w:val="24"/>
        </w:rPr>
        <w:t xml:space="preserve">, </w:t>
      </w:r>
      <w:r>
        <w:rPr>
          <w:rFonts w:hint="eastAsia"/>
          <w:sz w:val="24"/>
          <w:szCs w:val="24"/>
        </w:rPr>
        <w:t>鼓励更多的人、更多的资金按照市场机制的要求</w:t>
      </w:r>
      <w:r>
        <w:rPr>
          <w:sz w:val="24"/>
          <w:szCs w:val="24"/>
        </w:rPr>
        <w:t xml:space="preserve">, </w:t>
      </w:r>
      <w:r>
        <w:rPr>
          <w:rFonts w:hint="eastAsia"/>
          <w:sz w:val="24"/>
          <w:szCs w:val="24"/>
        </w:rPr>
        <w:t>平等、自由地参与公共服务经营</w:t>
      </w:r>
      <w:r>
        <w:rPr>
          <w:sz w:val="24"/>
          <w:szCs w:val="24"/>
        </w:rPr>
        <w:t xml:space="preserve">, </w:t>
      </w:r>
      <w:r>
        <w:rPr>
          <w:rFonts w:hint="eastAsia"/>
          <w:sz w:val="24"/>
          <w:szCs w:val="24"/>
        </w:rPr>
        <w:t>以保证公共服务民营化的顺利进行。</w:t>
      </w:r>
    </w:p>
    <w:p w14:paraId="3F01D300">
      <w:pPr>
        <w:spacing w:line="400" w:lineRule="exact"/>
        <w:ind w:firstLine="480" w:firstLineChars="200"/>
        <w:rPr>
          <w:sz w:val="24"/>
          <w:szCs w:val="24"/>
        </w:rPr>
      </w:pPr>
    </w:p>
    <w:p w14:paraId="4E4682A6">
      <w:pPr>
        <w:numPr>
          <w:ilvl w:val="0"/>
          <w:numId w:val="2"/>
        </w:numPr>
        <w:spacing w:line="400" w:lineRule="exact"/>
        <w:outlineLvl w:val="1"/>
        <w:rPr>
          <w:b/>
          <w:sz w:val="24"/>
          <w:szCs w:val="24"/>
        </w:rPr>
      </w:pPr>
      <w:bookmarkStart w:id="8" w:name="_Toc11609"/>
      <w:r>
        <w:rPr>
          <w:rFonts w:hint="eastAsia"/>
          <w:b/>
          <w:sz w:val="24"/>
          <w:szCs w:val="24"/>
        </w:rPr>
        <w:t>生产者</w:t>
      </w:r>
      <w:bookmarkEnd w:id="8"/>
    </w:p>
    <w:p w14:paraId="3937BFF2">
      <w:pPr>
        <w:spacing w:line="400" w:lineRule="exact"/>
        <w:ind w:firstLine="480" w:firstLineChars="200"/>
        <w:rPr>
          <w:sz w:val="24"/>
          <w:szCs w:val="24"/>
        </w:rPr>
      </w:pPr>
      <w:r>
        <w:rPr>
          <w:rFonts w:hint="eastAsia"/>
          <w:sz w:val="24"/>
          <w:szCs w:val="24"/>
        </w:rPr>
        <w:t>根据公共提供理论</w:t>
      </w:r>
      <w:r>
        <w:rPr>
          <w:sz w:val="24"/>
          <w:szCs w:val="24"/>
        </w:rPr>
        <w:t xml:space="preserve">, </w:t>
      </w:r>
      <w:r>
        <w:rPr>
          <w:rFonts w:hint="eastAsia"/>
          <w:sz w:val="24"/>
          <w:szCs w:val="24"/>
        </w:rPr>
        <w:t>在民营化过程中</w:t>
      </w:r>
      <w:r>
        <w:rPr>
          <w:sz w:val="24"/>
          <w:szCs w:val="24"/>
        </w:rPr>
        <w:t xml:space="preserve">, </w:t>
      </w:r>
      <w:r>
        <w:rPr>
          <w:rFonts w:hint="eastAsia"/>
          <w:sz w:val="24"/>
          <w:szCs w:val="24"/>
        </w:rPr>
        <w:t>准公共产品的生产可交由市场和非政府组织来完成。但对于具有纯公共物品特征的、自然垄断性强的公共服务</w:t>
      </w:r>
      <w:r>
        <w:rPr>
          <w:sz w:val="24"/>
          <w:szCs w:val="24"/>
        </w:rPr>
        <w:t xml:space="preserve">, </w:t>
      </w:r>
      <w:r>
        <w:rPr>
          <w:rFonts w:hint="eastAsia"/>
          <w:sz w:val="24"/>
          <w:szCs w:val="24"/>
        </w:rPr>
        <w:t>由于这些公共服务的影响重大性、投资规模性、收益微小性、风险巨大性、回报长远性</w:t>
      </w:r>
      <w:r>
        <w:rPr>
          <w:sz w:val="24"/>
          <w:szCs w:val="24"/>
        </w:rPr>
        <w:t xml:space="preserve">, </w:t>
      </w:r>
      <w:r>
        <w:rPr>
          <w:rFonts w:hint="eastAsia"/>
          <w:sz w:val="24"/>
          <w:szCs w:val="24"/>
        </w:rPr>
        <w:t>私人部门无力或不愿意投资</w:t>
      </w:r>
      <w:r>
        <w:rPr>
          <w:sz w:val="24"/>
          <w:szCs w:val="24"/>
        </w:rPr>
        <w:t>;</w:t>
      </w:r>
      <w:r>
        <w:rPr>
          <w:rFonts w:hint="eastAsia"/>
          <w:sz w:val="24"/>
          <w:szCs w:val="24"/>
        </w:rPr>
        <w:t>或者因为某些公共服务本身的重要性、保密性</w:t>
      </w:r>
      <w:r>
        <w:rPr>
          <w:sz w:val="24"/>
          <w:szCs w:val="24"/>
        </w:rPr>
        <w:t xml:space="preserve">, </w:t>
      </w:r>
      <w:r>
        <w:rPr>
          <w:rFonts w:hint="eastAsia"/>
          <w:sz w:val="24"/>
          <w:szCs w:val="24"/>
        </w:rPr>
        <w:t>根据公共利益理论</w:t>
      </w:r>
      <w:r>
        <w:rPr>
          <w:sz w:val="24"/>
          <w:szCs w:val="24"/>
        </w:rPr>
        <w:t xml:space="preserve">, </w:t>
      </w:r>
      <w:r>
        <w:rPr>
          <w:rFonts w:hint="eastAsia"/>
          <w:sz w:val="24"/>
          <w:szCs w:val="24"/>
        </w:rPr>
        <w:t>要求这类公共服务必须由政府提供。</w:t>
      </w:r>
    </w:p>
    <w:p w14:paraId="42FA982B">
      <w:pPr>
        <w:spacing w:line="400" w:lineRule="exact"/>
        <w:ind w:firstLine="480" w:firstLineChars="200"/>
        <w:rPr>
          <w:sz w:val="24"/>
          <w:szCs w:val="24"/>
        </w:rPr>
      </w:pPr>
    </w:p>
    <w:p w14:paraId="1F71BBCE">
      <w:pPr>
        <w:numPr>
          <w:ilvl w:val="0"/>
          <w:numId w:val="2"/>
        </w:numPr>
        <w:spacing w:line="400" w:lineRule="exact"/>
        <w:outlineLvl w:val="1"/>
        <w:rPr>
          <w:b/>
          <w:sz w:val="24"/>
          <w:szCs w:val="24"/>
        </w:rPr>
      </w:pPr>
      <w:bookmarkStart w:id="9" w:name="_Toc28782"/>
      <w:r>
        <w:rPr>
          <w:rFonts w:hint="eastAsia"/>
          <w:b/>
          <w:sz w:val="24"/>
          <w:szCs w:val="24"/>
        </w:rPr>
        <w:t>决策者</w:t>
      </w:r>
      <w:bookmarkEnd w:id="9"/>
    </w:p>
    <w:p w14:paraId="240D4729">
      <w:pPr>
        <w:spacing w:line="400" w:lineRule="exact"/>
        <w:ind w:firstLine="480" w:firstLineChars="200"/>
        <w:rPr>
          <w:sz w:val="24"/>
          <w:szCs w:val="24"/>
        </w:rPr>
      </w:pPr>
      <w:r>
        <w:rPr>
          <w:rFonts w:hint="eastAsia"/>
          <w:sz w:val="24"/>
          <w:szCs w:val="24"/>
        </w:rPr>
        <w:t>根据自然垄断理论</w:t>
      </w:r>
      <w:r>
        <w:rPr>
          <w:sz w:val="24"/>
          <w:szCs w:val="24"/>
        </w:rPr>
        <w:t xml:space="preserve">, </w:t>
      </w:r>
      <w:r>
        <w:rPr>
          <w:rFonts w:hint="eastAsia"/>
          <w:sz w:val="24"/>
          <w:szCs w:val="24"/>
        </w:rPr>
        <w:t>对于非自然垄断性的公共服务</w:t>
      </w:r>
      <w:r>
        <w:rPr>
          <w:sz w:val="24"/>
          <w:szCs w:val="24"/>
        </w:rPr>
        <w:t xml:space="preserve">, </w:t>
      </w:r>
      <w:r>
        <w:rPr>
          <w:rFonts w:hint="eastAsia"/>
          <w:sz w:val="24"/>
          <w:szCs w:val="24"/>
        </w:rPr>
        <w:t>应尽快降低甚至取消进入门槛</w:t>
      </w:r>
      <w:r>
        <w:rPr>
          <w:sz w:val="24"/>
          <w:szCs w:val="24"/>
        </w:rPr>
        <w:t xml:space="preserve">, </w:t>
      </w:r>
      <w:r>
        <w:rPr>
          <w:rFonts w:hint="eastAsia"/>
          <w:sz w:val="24"/>
          <w:szCs w:val="24"/>
        </w:rPr>
        <w:t>通过多元化经营、竞争来降低成本。为此</w:t>
      </w:r>
      <w:r>
        <w:rPr>
          <w:sz w:val="24"/>
          <w:szCs w:val="24"/>
        </w:rPr>
        <w:t xml:space="preserve">, </w:t>
      </w:r>
      <w:r>
        <w:rPr>
          <w:rFonts w:hint="eastAsia"/>
          <w:sz w:val="24"/>
          <w:szCs w:val="24"/>
        </w:rPr>
        <w:t>政府在公共服务民营化过程中</w:t>
      </w:r>
      <w:r>
        <w:rPr>
          <w:sz w:val="24"/>
          <w:szCs w:val="24"/>
        </w:rPr>
        <w:t xml:space="preserve">, </w:t>
      </w:r>
      <w:r>
        <w:rPr>
          <w:rFonts w:hint="eastAsia"/>
          <w:sz w:val="24"/>
          <w:szCs w:val="24"/>
        </w:rPr>
        <w:t>必须确定哪些公共服务不具有严格的自然垄断特性</w:t>
      </w:r>
      <w:r>
        <w:rPr>
          <w:sz w:val="24"/>
          <w:szCs w:val="24"/>
        </w:rPr>
        <w:t xml:space="preserve">, </w:t>
      </w:r>
      <w:r>
        <w:rPr>
          <w:rFonts w:hint="eastAsia"/>
          <w:sz w:val="24"/>
          <w:szCs w:val="24"/>
        </w:rPr>
        <w:t>哪些公共服务的哪些环节不具有严格的自然垄断特性</w:t>
      </w:r>
      <w:r>
        <w:rPr>
          <w:sz w:val="24"/>
          <w:szCs w:val="24"/>
        </w:rPr>
        <w:t xml:space="preserve">, </w:t>
      </w:r>
      <w:r>
        <w:rPr>
          <w:rFonts w:hint="eastAsia"/>
          <w:sz w:val="24"/>
          <w:szCs w:val="24"/>
        </w:rPr>
        <w:t>可以推向市场、推向社会</w:t>
      </w:r>
      <w:r>
        <w:rPr>
          <w:sz w:val="24"/>
          <w:szCs w:val="24"/>
        </w:rPr>
        <w:t xml:space="preserve">, </w:t>
      </w:r>
      <w:r>
        <w:rPr>
          <w:rFonts w:hint="eastAsia"/>
          <w:sz w:val="24"/>
          <w:szCs w:val="24"/>
        </w:rPr>
        <w:t>实行民营</w:t>
      </w:r>
      <w:r>
        <w:rPr>
          <w:sz w:val="24"/>
          <w:szCs w:val="24"/>
        </w:rPr>
        <w:t>;</w:t>
      </w:r>
      <w:r>
        <w:rPr>
          <w:rFonts w:hint="eastAsia"/>
          <w:sz w:val="24"/>
          <w:szCs w:val="24"/>
        </w:rPr>
        <w:t>而且</w:t>
      </w:r>
      <w:r>
        <w:rPr>
          <w:sz w:val="24"/>
          <w:szCs w:val="24"/>
        </w:rPr>
        <w:t xml:space="preserve">, </w:t>
      </w:r>
      <w:r>
        <w:rPr>
          <w:rFonts w:hint="eastAsia"/>
          <w:sz w:val="24"/>
          <w:szCs w:val="24"/>
        </w:rPr>
        <w:t>政府还要坚持公平、公开、公正的原则</w:t>
      </w:r>
      <w:r>
        <w:rPr>
          <w:sz w:val="24"/>
          <w:szCs w:val="24"/>
        </w:rPr>
        <w:t xml:space="preserve">, </w:t>
      </w:r>
      <w:r>
        <w:rPr>
          <w:rFonts w:hint="eastAsia"/>
          <w:sz w:val="24"/>
          <w:szCs w:val="24"/>
        </w:rPr>
        <w:t>对公共服务的投资主体和营运主体</w:t>
      </w:r>
      <w:r>
        <w:rPr>
          <w:sz w:val="24"/>
          <w:szCs w:val="24"/>
        </w:rPr>
        <w:t xml:space="preserve">, </w:t>
      </w:r>
      <w:r>
        <w:rPr>
          <w:rFonts w:hint="eastAsia"/>
          <w:sz w:val="24"/>
          <w:szCs w:val="24"/>
        </w:rPr>
        <w:t>对具体公共服务民营化的基本方式加强决策管理。</w:t>
      </w:r>
    </w:p>
    <w:p w14:paraId="494681C0">
      <w:pPr>
        <w:spacing w:line="400" w:lineRule="exact"/>
        <w:ind w:firstLine="480" w:firstLineChars="200"/>
        <w:rPr>
          <w:sz w:val="24"/>
          <w:szCs w:val="24"/>
        </w:rPr>
      </w:pPr>
    </w:p>
    <w:p w14:paraId="59894D24">
      <w:pPr>
        <w:numPr>
          <w:ilvl w:val="0"/>
          <w:numId w:val="2"/>
        </w:numPr>
        <w:spacing w:line="400" w:lineRule="exact"/>
        <w:outlineLvl w:val="1"/>
        <w:rPr>
          <w:b/>
          <w:sz w:val="24"/>
          <w:szCs w:val="24"/>
        </w:rPr>
      </w:pPr>
      <w:bookmarkStart w:id="10" w:name="_Toc28102"/>
      <w:r>
        <w:rPr>
          <w:rFonts w:hint="eastAsia"/>
          <w:b/>
          <w:sz w:val="24"/>
          <w:szCs w:val="24"/>
        </w:rPr>
        <w:t>立法者</w:t>
      </w:r>
      <w:bookmarkEnd w:id="10"/>
    </w:p>
    <w:p w14:paraId="0A8C1DBD">
      <w:pPr>
        <w:spacing w:line="400" w:lineRule="exact"/>
        <w:ind w:firstLine="480" w:firstLineChars="200"/>
        <w:rPr>
          <w:sz w:val="24"/>
          <w:szCs w:val="24"/>
        </w:rPr>
      </w:pPr>
      <w:r>
        <w:rPr>
          <w:rFonts w:hint="eastAsia"/>
          <w:sz w:val="24"/>
          <w:szCs w:val="24"/>
        </w:rPr>
        <w:t>民营化在我国开展已有一段时间</w:t>
      </w:r>
      <w:r>
        <w:rPr>
          <w:sz w:val="24"/>
          <w:szCs w:val="24"/>
        </w:rPr>
        <w:t>,</w:t>
      </w:r>
      <w:r>
        <w:rPr>
          <w:rFonts w:hint="eastAsia"/>
          <w:sz w:val="24"/>
          <w:szCs w:val="24"/>
        </w:rPr>
        <w:t>但至今尚未出台专门的民营化的法律法规</w:t>
      </w:r>
      <w:r>
        <w:rPr>
          <w:sz w:val="24"/>
          <w:szCs w:val="24"/>
        </w:rPr>
        <w:t xml:space="preserve">, </w:t>
      </w:r>
      <w:r>
        <w:rPr>
          <w:rFonts w:hint="eastAsia"/>
          <w:sz w:val="24"/>
          <w:szCs w:val="24"/>
        </w:rPr>
        <w:t>这在很大程度上不利于民营化在实践中的操作。因此</w:t>
      </w:r>
      <w:r>
        <w:rPr>
          <w:sz w:val="24"/>
          <w:szCs w:val="24"/>
        </w:rPr>
        <w:t xml:space="preserve">, </w:t>
      </w:r>
      <w:r>
        <w:rPr>
          <w:rFonts w:hint="eastAsia"/>
          <w:sz w:val="24"/>
          <w:szCs w:val="24"/>
        </w:rPr>
        <w:t>政府要在现有《关于加快市政公用行业市场化进程的意见》及其他关于公用事业市场化的政策、规定基础上</w:t>
      </w:r>
      <w:r>
        <w:rPr>
          <w:sz w:val="24"/>
          <w:szCs w:val="24"/>
        </w:rPr>
        <w:t xml:space="preserve">, </w:t>
      </w:r>
      <w:r>
        <w:rPr>
          <w:rFonts w:hint="eastAsia"/>
          <w:sz w:val="24"/>
          <w:szCs w:val="24"/>
        </w:rPr>
        <w:t>制定公共服务民营化的总法。同时</w:t>
      </w:r>
      <w:r>
        <w:rPr>
          <w:sz w:val="24"/>
          <w:szCs w:val="24"/>
        </w:rPr>
        <w:t xml:space="preserve">, </w:t>
      </w:r>
      <w:r>
        <w:rPr>
          <w:rFonts w:hint="eastAsia"/>
          <w:sz w:val="24"/>
          <w:szCs w:val="24"/>
        </w:rPr>
        <w:t>根据自然垄断理论</w:t>
      </w:r>
      <w:r>
        <w:rPr>
          <w:sz w:val="24"/>
          <w:szCs w:val="24"/>
        </w:rPr>
        <w:t xml:space="preserve">, </w:t>
      </w:r>
      <w:r>
        <w:rPr>
          <w:rFonts w:hint="eastAsia"/>
          <w:sz w:val="24"/>
          <w:szCs w:val="24"/>
        </w:rPr>
        <w:t>公共服务的自然垄断性在不同的行业、在同一行业的不同环节表现都不一样</w:t>
      </w:r>
      <w:r>
        <w:rPr>
          <w:sz w:val="24"/>
          <w:szCs w:val="24"/>
        </w:rPr>
        <w:t xml:space="preserve">, </w:t>
      </w:r>
      <w:r>
        <w:rPr>
          <w:rFonts w:hint="eastAsia"/>
          <w:sz w:val="24"/>
          <w:szCs w:val="24"/>
        </w:rPr>
        <w:t>因此</w:t>
      </w:r>
      <w:r>
        <w:rPr>
          <w:sz w:val="24"/>
          <w:szCs w:val="24"/>
        </w:rPr>
        <w:t xml:space="preserve">, </w:t>
      </w:r>
      <w:r>
        <w:rPr>
          <w:rFonts w:hint="eastAsia"/>
          <w:sz w:val="24"/>
          <w:szCs w:val="24"/>
        </w:rPr>
        <w:t>要进一步制定健全公共服务民营化的行业法</w:t>
      </w:r>
      <w:r>
        <w:rPr>
          <w:sz w:val="24"/>
          <w:szCs w:val="24"/>
        </w:rPr>
        <w:t xml:space="preserve">, </w:t>
      </w:r>
      <w:r>
        <w:rPr>
          <w:rFonts w:hint="eastAsia"/>
          <w:sz w:val="24"/>
          <w:szCs w:val="24"/>
        </w:rPr>
        <w:t>包括供水、燃气、公交、垃圾污水处理等行业的政策法规体系及相关的配套法规和政策。根据有效竞争理论</w:t>
      </w:r>
      <w:r>
        <w:rPr>
          <w:sz w:val="24"/>
          <w:szCs w:val="24"/>
        </w:rPr>
        <w:t xml:space="preserve">, </w:t>
      </w:r>
      <w:r>
        <w:rPr>
          <w:rFonts w:hint="eastAsia"/>
          <w:sz w:val="24"/>
          <w:szCs w:val="24"/>
        </w:rPr>
        <w:t>引入竞争是民营化的关键</w:t>
      </w:r>
      <w:r>
        <w:rPr>
          <w:sz w:val="24"/>
          <w:szCs w:val="24"/>
        </w:rPr>
        <w:t xml:space="preserve">, </w:t>
      </w:r>
      <w:r>
        <w:rPr>
          <w:rFonts w:hint="eastAsia"/>
          <w:sz w:val="24"/>
          <w:szCs w:val="24"/>
        </w:rPr>
        <w:t>因此</w:t>
      </w:r>
      <w:r>
        <w:rPr>
          <w:sz w:val="24"/>
          <w:szCs w:val="24"/>
        </w:rPr>
        <w:t xml:space="preserve">, </w:t>
      </w:r>
      <w:r>
        <w:rPr>
          <w:rFonts w:hint="eastAsia"/>
          <w:sz w:val="24"/>
          <w:szCs w:val="24"/>
        </w:rPr>
        <w:t>公共服务民营化要求政府在立法层面上必须要制定和完善《反垄断法》、《反不当竞争法》</w:t>
      </w:r>
      <w:r>
        <w:rPr>
          <w:sz w:val="24"/>
          <w:szCs w:val="24"/>
        </w:rPr>
        <w:t xml:space="preserve">, </w:t>
      </w:r>
      <w:r>
        <w:rPr>
          <w:rFonts w:hint="eastAsia"/>
          <w:sz w:val="24"/>
          <w:szCs w:val="24"/>
        </w:rPr>
        <w:t>从而确立公共服务行业走向市场的竞争规则。</w:t>
      </w:r>
    </w:p>
    <w:p w14:paraId="2C01CF86">
      <w:pPr>
        <w:spacing w:line="400" w:lineRule="exact"/>
        <w:ind w:firstLine="480" w:firstLineChars="200"/>
        <w:rPr>
          <w:sz w:val="24"/>
          <w:szCs w:val="24"/>
        </w:rPr>
      </w:pPr>
    </w:p>
    <w:p w14:paraId="0BE85CF2">
      <w:pPr>
        <w:numPr>
          <w:ilvl w:val="0"/>
          <w:numId w:val="2"/>
        </w:numPr>
        <w:spacing w:line="400" w:lineRule="exact"/>
        <w:outlineLvl w:val="1"/>
        <w:rPr>
          <w:b/>
          <w:sz w:val="24"/>
          <w:szCs w:val="24"/>
        </w:rPr>
      </w:pPr>
      <w:bookmarkStart w:id="11" w:name="_Toc9833"/>
      <w:r>
        <w:rPr>
          <w:rFonts w:hint="eastAsia"/>
          <w:b/>
          <w:sz w:val="24"/>
          <w:szCs w:val="24"/>
        </w:rPr>
        <w:t>监管者</w:t>
      </w:r>
      <w:bookmarkEnd w:id="11"/>
    </w:p>
    <w:p w14:paraId="5242CF02">
      <w:pPr>
        <w:spacing w:line="400" w:lineRule="exact"/>
        <w:ind w:firstLine="480" w:firstLineChars="200"/>
        <w:rPr>
          <w:sz w:val="24"/>
          <w:szCs w:val="24"/>
        </w:rPr>
      </w:pPr>
      <w:r>
        <w:rPr>
          <w:rFonts w:hint="eastAsia"/>
          <w:sz w:val="24"/>
          <w:szCs w:val="24"/>
        </w:rPr>
        <w:t>根据公共利益理论</w:t>
      </w:r>
      <w:r>
        <w:rPr>
          <w:sz w:val="24"/>
          <w:szCs w:val="24"/>
        </w:rPr>
        <w:t xml:space="preserve">, </w:t>
      </w:r>
      <w:r>
        <w:rPr>
          <w:rFonts w:hint="eastAsia"/>
          <w:sz w:val="24"/>
          <w:szCs w:val="24"/>
        </w:rPr>
        <w:t>由于公共服务是关系国计民生的行业</w:t>
      </w:r>
      <w:r>
        <w:rPr>
          <w:sz w:val="24"/>
          <w:szCs w:val="24"/>
        </w:rPr>
        <w:t xml:space="preserve">, </w:t>
      </w:r>
      <w:r>
        <w:rPr>
          <w:rFonts w:hint="eastAsia"/>
          <w:sz w:val="24"/>
          <w:szCs w:val="24"/>
        </w:rPr>
        <w:t>如果行业乱了</w:t>
      </w:r>
      <w:r>
        <w:rPr>
          <w:sz w:val="24"/>
          <w:szCs w:val="24"/>
        </w:rPr>
        <w:t xml:space="preserve">, </w:t>
      </w:r>
      <w:r>
        <w:rPr>
          <w:rFonts w:hint="eastAsia"/>
          <w:sz w:val="24"/>
          <w:szCs w:val="24"/>
        </w:rPr>
        <w:t>会对社会稳定带来很大的影响。与公共部门不同</w:t>
      </w:r>
      <w:r>
        <w:rPr>
          <w:sz w:val="24"/>
          <w:szCs w:val="24"/>
        </w:rPr>
        <w:t xml:space="preserve">, </w:t>
      </w:r>
      <w:r>
        <w:rPr>
          <w:rFonts w:hint="eastAsia"/>
          <w:sz w:val="24"/>
          <w:szCs w:val="24"/>
        </w:rPr>
        <w:t>私人部门一般是以利润最大化为其追求目标</w:t>
      </w:r>
      <w:r>
        <w:rPr>
          <w:sz w:val="24"/>
          <w:szCs w:val="24"/>
        </w:rPr>
        <w:t xml:space="preserve">, </w:t>
      </w:r>
      <w:r>
        <w:rPr>
          <w:rFonts w:hint="eastAsia"/>
          <w:sz w:val="24"/>
          <w:szCs w:val="24"/>
        </w:rPr>
        <w:t>在利益驱使下</w:t>
      </w:r>
      <w:r>
        <w:rPr>
          <w:sz w:val="24"/>
          <w:szCs w:val="24"/>
        </w:rPr>
        <w:t xml:space="preserve">, </w:t>
      </w:r>
      <w:r>
        <w:rPr>
          <w:rFonts w:hint="eastAsia"/>
          <w:sz w:val="24"/>
          <w:szCs w:val="24"/>
        </w:rPr>
        <w:t>可能会出现抬高公共服务价格、降低服务质量等影响社会公共利益的问题。因此</w:t>
      </w:r>
      <w:r>
        <w:rPr>
          <w:sz w:val="24"/>
          <w:szCs w:val="24"/>
        </w:rPr>
        <w:t xml:space="preserve">, </w:t>
      </w:r>
      <w:r>
        <w:rPr>
          <w:rFonts w:hint="eastAsia"/>
          <w:sz w:val="24"/>
          <w:szCs w:val="24"/>
        </w:rPr>
        <w:t>在部分公共服务民营化中</w:t>
      </w:r>
      <w:r>
        <w:rPr>
          <w:sz w:val="24"/>
          <w:szCs w:val="24"/>
        </w:rPr>
        <w:t xml:space="preserve">, </w:t>
      </w:r>
      <w:r>
        <w:rPr>
          <w:rFonts w:hint="eastAsia"/>
          <w:sz w:val="24"/>
          <w:szCs w:val="24"/>
        </w:rPr>
        <w:t>政府应该扮演着民营化的全过程全方位的监管。</w:t>
      </w:r>
    </w:p>
    <w:p w14:paraId="0E7E3885">
      <w:pPr>
        <w:spacing w:line="400" w:lineRule="exact"/>
        <w:ind w:firstLine="480" w:firstLineChars="200"/>
        <w:rPr>
          <w:sz w:val="24"/>
          <w:szCs w:val="24"/>
        </w:rPr>
      </w:pPr>
    </w:p>
    <w:p w14:paraId="37DBF922">
      <w:pPr>
        <w:spacing w:line="400" w:lineRule="exact"/>
        <w:jc w:val="center"/>
        <w:outlineLvl w:val="0"/>
        <w:rPr>
          <w:b/>
          <w:sz w:val="24"/>
          <w:szCs w:val="24"/>
        </w:rPr>
      </w:pPr>
      <w:bookmarkStart w:id="12" w:name="_Toc7465"/>
      <w:r>
        <w:rPr>
          <w:rFonts w:hint="eastAsia"/>
          <w:b/>
          <w:sz w:val="24"/>
          <w:szCs w:val="24"/>
        </w:rPr>
        <w:t>结语</w:t>
      </w:r>
      <w:bookmarkEnd w:id="12"/>
    </w:p>
    <w:p w14:paraId="68D2482D">
      <w:pPr>
        <w:spacing w:line="400" w:lineRule="exact"/>
        <w:ind w:left="1282"/>
        <w:rPr>
          <w:sz w:val="24"/>
          <w:szCs w:val="24"/>
        </w:rPr>
      </w:pPr>
    </w:p>
    <w:p w14:paraId="2161946A">
      <w:pPr>
        <w:spacing w:line="400" w:lineRule="exact"/>
        <w:ind w:firstLine="480" w:firstLineChars="200"/>
        <w:rPr>
          <w:sz w:val="24"/>
          <w:szCs w:val="24"/>
        </w:rPr>
      </w:pPr>
      <w:r>
        <w:rPr>
          <w:rFonts w:hint="eastAsia"/>
          <w:sz w:val="24"/>
          <w:szCs w:val="24"/>
        </w:rPr>
        <w:t>公共体育场馆服务民营化改革的要旨并非政府从行政管理的全面脱离，而是政府责任的重新定位以及政府角色的变迁和职能实现新的途径。公共服务民营化改革对我国政府的职能提出了新的挑战</w:t>
      </w:r>
      <w:r>
        <w:rPr>
          <w:sz w:val="24"/>
          <w:szCs w:val="24"/>
        </w:rPr>
        <w:t>,</w:t>
      </w:r>
      <w:r>
        <w:rPr>
          <w:rFonts w:hint="eastAsia"/>
          <w:sz w:val="24"/>
          <w:szCs w:val="24"/>
        </w:rPr>
        <w:t>要求政府必须转变传统模式下的基本职能。此项改革的目的在于维护公共利益不受侵害、保障民营部门的合法权力和利益的基础上，本着恪守市场规律和政府规制的原则，由公共服务经营者向服务利益保障者的角色转变，促进我国民营化改革健康顺利地发展。</w:t>
      </w:r>
    </w:p>
    <w:p w14:paraId="29AFE37E">
      <w:pPr>
        <w:spacing w:beforeLines="50" w:line="400" w:lineRule="exact"/>
        <w:ind w:firstLine="480" w:firstLineChars="200"/>
        <w:jc w:val="left"/>
        <w:rPr>
          <w:rFonts w:ascii="宋体" w:hAnsi="宋体" w:eastAsia="宋体" w:cs="宋体"/>
          <w:sz w:val="24"/>
          <w:szCs w:val="24"/>
        </w:rPr>
      </w:pPr>
    </w:p>
    <w:p w14:paraId="79A1B71C">
      <w:pPr>
        <w:spacing w:beforeLines="50" w:line="400" w:lineRule="exact"/>
        <w:jc w:val="left"/>
        <w:rPr>
          <w:rFonts w:ascii="宋体" w:hAnsi="宋体" w:eastAsia="宋体" w:cs="宋体"/>
          <w:sz w:val="24"/>
          <w:szCs w:val="24"/>
        </w:rPr>
      </w:pPr>
    </w:p>
    <w:p w14:paraId="25409E60">
      <w:pPr>
        <w:numPr>
          <w:ilvl w:val="0"/>
          <w:numId w:val="0"/>
        </w:numPr>
        <w:spacing w:line="400" w:lineRule="exact"/>
        <w:ind w:left="425" w:leftChars="0"/>
        <w:outlineLvl w:val="1"/>
        <w:rPr>
          <w:rFonts w:hint="eastAsia"/>
          <w:b/>
          <w:sz w:val="24"/>
          <w:szCs w:val="24"/>
        </w:rPr>
      </w:pPr>
      <w:bookmarkStart w:id="13" w:name="_Toc32479"/>
      <w:r>
        <w:rPr>
          <w:rFonts w:hint="eastAsia"/>
          <w:b/>
          <w:sz w:val="24"/>
          <w:szCs w:val="24"/>
        </w:rPr>
        <w:t>【参考文献】</w:t>
      </w:r>
      <w:bookmarkEnd w:id="13"/>
    </w:p>
    <w:p w14:paraId="5274E9E0">
      <w:pPr>
        <w:spacing w:line="400" w:lineRule="exact"/>
        <w:ind w:firstLine="480" w:firstLineChars="200"/>
        <w:rPr>
          <w:rFonts w:hint="eastAsia"/>
          <w:sz w:val="24"/>
          <w:szCs w:val="24"/>
        </w:rPr>
      </w:pPr>
      <w:r>
        <w:rPr>
          <w:rFonts w:hint="eastAsia"/>
          <w:sz w:val="24"/>
          <w:szCs w:val="24"/>
        </w:rPr>
        <w:t>［1］　聂永有，王振坤．公共产品供给民营化背景下的政府规制研究［J］．中国人口·资源与环境，2012（1）．</w:t>
      </w:r>
    </w:p>
    <w:p w14:paraId="4DF8B4BC">
      <w:pPr>
        <w:spacing w:line="400" w:lineRule="exact"/>
        <w:ind w:firstLine="480" w:firstLineChars="200"/>
        <w:rPr>
          <w:rFonts w:hint="eastAsia"/>
          <w:sz w:val="24"/>
          <w:szCs w:val="24"/>
        </w:rPr>
      </w:pPr>
      <w:r>
        <w:rPr>
          <w:rFonts w:hint="eastAsia"/>
          <w:sz w:val="24"/>
          <w:szCs w:val="24"/>
        </w:rPr>
        <w:t>［2］　王涛，崔世君．公共体育服务供给中政府与民间组织的互动研究［J］．浙江体育科学，2015，37（5）：17－20．</w:t>
      </w:r>
    </w:p>
    <w:p w14:paraId="3480B41C">
      <w:pPr>
        <w:spacing w:line="400" w:lineRule="exact"/>
        <w:ind w:firstLine="480" w:firstLineChars="200"/>
        <w:rPr>
          <w:rFonts w:hint="eastAsia"/>
          <w:sz w:val="24"/>
          <w:szCs w:val="24"/>
        </w:rPr>
      </w:pPr>
      <w:r>
        <w:rPr>
          <w:rFonts w:hint="eastAsia"/>
          <w:sz w:val="24"/>
          <w:szCs w:val="24"/>
        </w:rPr>
        <w:t>［3］　杨凤华．对我国城市公共体育场馆民营化改革的认识［J］．首都体育学院学报，2008（9）．</w:t>
      </w:r>
    </w:p>
    <w:p w14:paraId="04DA6101">
      <w:pPr>
        <w:spacing w:line="400" w:lineRule="exact"/>
        <w:ind w:firstLine="480" w:firstLineChars="200"/>
        <w:rPr>
          <w:rFonts w:hint="eastAsia"/>
          <w:sz w:val="24"/>
          <w:szCs w:val="24"/>
        </w:rPr>
      </w:pPr>
      <w:r>
        <w:rPr>
          <w:rFonts w:hint="eastAsia"/>
          <w:sz w:val="24"/>
          <w:szCs w:val="24"/>
        </w:rPr>
        <w:t>［4］　陈元欣，张崇光，王健．大型体育赛事场馆设施的民营化探析［J］．上海体育学院学报，2008（1）．</w:t>
      </w:r>
    </w:p>
    <w:p w14:paraId="5BA61514">
      <w:pPr>
        <w:spacing w:line="400" w:lineRule="exact"/>
        <w:ind w:firstLine="480" w:firstLineChars="200"/>
        <w:rPr>
          <w:rFonts w:hint="eastAsia"/>
          <w:sz w:val="24"/>
          <w:szCs w:val="24"/>
        </w:rPr>
      </w:pPr>
      <w:r>
        <w:rPr>
          <w:rFonts w:hint="eastAsia"/>
          <w:sz w:val="24"/>
          <w:szCs w:val="24"/>
        </w:rPr>
        <w:t>［5］　谭建湘，周良君，陈华．国内公共体育场馆运营管理研究述评［J］．体育学刊，2013（5）．</w:t>
      </w:r>
    </w:p>
    <w:p w14:paraId="231BD865">
      <w:pPr>
        <w:spacing w:line="400" w:lineRule="exact"/>
        <w:ind w:firstLine="480" w:firstLineChars="200"/>
        <w:rPr>
          <w:rFonts w:hint="eastAsia"/>
          <w:sz w:val="24"/>
          <w:szCs w:val="24"/>
        </w:rPr>
      </w:pPr>
      <w:r>
        <w:rPr>
          <w:rFonts w:hint="eastAsia"/>
          <w:sz w:val="24"/>
          <w:szCs w:val="24"/>
        </w:rPr>
        <w:t>［6］　易新涛．我国城市公共服务民营化发展的现状及有效路径［J］．经济与社会发展，2007（1）．</w:t>
      </w:r>
    </w:p>
    <w:p w14:paraId="3556E0AA">
      <w:pPr>
        <w:spacing w:line="400" w:lineRule="exact"/>
        <w:ind w:firstLine="480" w:firstLineChars="200"/>
        <w:rPr>
          <w:rFonts w:hint="eastAsia"/>
          <w:sz w:val="24"/>
          <w:szCs w:val="24"/>
        </w:rPr>
      </w:pPr>
      <w:r>
        <w:rPr>
          <w:rFonts w:hint="eastAsia"/>
          <w:sz w:val="24"/>
          <w:szCs w:val="24"/>
        </w:rPr>
        <w:t>［7］　程智开，丰云．公共服务民营化的理论基础及政府角色定位［J］．湖南广播电视大学学报，2009（2）．</w:t>
      </w:r>
    </w:p>
    <w:p w14:paraId="415054C7">
      <w:pPr>
        <w:spacing w:line="400" w:lineRule="exact"/>
        <w:ind w:firstLine="480" w:firstLineChars="200"/>
        <w:rPr>
          <w:rFonts w:hint="eastAsia"/>
          <w:sz w:val="24"/>
          <w:szCs w:val="24"/>
        </w:rPr>
      </w:pPr>
    </w:p>
    <w:p w14:paraId="03092515">
      <w:pPr>
        <w:spacing w:line="400" w:lineRule="exact"/>
        <w:jc w:val="left"/>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00" w:usb3="00000000" w:csb0="00040000" w:csb1="00000000"/>
  </w:font>
  <w:font w:name="方正魏碑简体">
    <w:altName w:val="宋体"/>
    <w:panose1 w:val="00000000000000000000"/>
    <w:charset w:val="86"/>
    <w:family w:val="auto"/>
    <w:pitch w:val="default"/>
    <w:sig w:usb0="00000000" w:usb1="00000000" w:usb2="0000001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F290F">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DE4AD2F">
                          <w:pPr>
                            <w:pStyle w:val="2"/>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DE4AD2F">
                    <w:pPr>
                      <w:pStyle w:val="2"/>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748D5"/>
    <w:multiLevelType w:val="multilevel"/>
    <w:tmpl w:val="06B748D5"/>
    <w:lvl w:ilvl="0" w:tentative="0">
      <w:start w:val="1"/>
      <w:numFmt w:val="japaneseCounting"/>
      <w:lvlText w:val="%1、"/>
      <w:lvlJc w:val="left"/>
      <w:pPr>
        <w:ind w:left="1282" w:hanging="72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527176BF"/>
    <w:multiLevelType w:val="multilevel"/>
    <w:tmpl w:val="527176BF"/>
    <w:lvl w:ilvl="0" w:tentative="0">
      <w:start w:val="1"/>
      <w:numFmt w:val="japaneseCounting"/>
      <w:lvlText w:val="（%1）"/>
      <w:lvlJc w:val="left"/>
      <w:pPr>
        <w:ind w:left="1145" w:hanging="72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206"/>
    <w:rsid w:val="00030D0E"/>
    <w:rsid w:val="000A6714"/>
    <w:rsid w:val="00166604"/>
    <w:rsid w:val="0017644D"/>
    <w:rsid w:val="00223206"/>
    <w:rsid w:val="00544540"/>
    <w:rsid w:val="00567D87"/>
    <w:rsid w:val="005C56E9"/>
    <w:rsid w:val="0070572B"/>
    <w:rsid w:val="007863EF"/>
    <w:rsid w:val="008155B8"/>
    <w:rsid w:val="00AC51DE"/>
    <w:rsid w:val="00B53DA3"/>
    <w:rsid w:val="00C64070"/>
    <w:rsid w:val="00CA1C64"/>
    <w:rsid w:val="00DB36D5"/>
    <w:rsid w:val="00E77FD7"/>
    <w:rsid w:val="00F06287"/>
    <w:rsid w:val="00F16EAE"/>
    <w:rsid w:val="01EF086B"/>
    <w:rsid w:val="471D3ABA"/>
    <w:rsid w:val="49ED7831"/>
    <w:rsid w:val="5D4B215E"/>
    <w:rsid w:val="682702AF"/>
    <w:rsid w:val="79C31D9E"/>
    <w:rsid w:val="7E195A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semiHidden/>
    <w:unhideWhenUsed/>
    <w:qFormat/>
    <w:uiPriority w:val="39"/>
  </w:style>
  <w:style w:type="paragraph" w:styleId="5">
    <w:name w:val="toc 2"/>
    <w:basedOn w:val="1"/>
    <w:next w:val="1"/>
    <w:semiHidden/>
    <w:unhideWhenUsed/>
    <w:qFormat/>
    <w:uiPriority w:val="39"/>
    <w:pPr>
      <w:ind w:left="420" w:leftChars="200"/>
    </w:pPr>
  </w:style>
  <w:style w:type="paragraph" w:styleId="6">
    <w:name w:val="Normal (Web)"/>
    <w:basedOn w:val="1"/>
    <w:unhideWhenUsed/>
    <w:qFormat/>
    <w:uiPriority w:val="0"/>
    <w:pPr>
      <w:widowControl/>
      <w:spacing w:before="100" w:beforeLines="0" w:beforeAutospacing="1" w:after="100" w:afterLines="0" w:afterAutospacing="1"/>
      <w:jc w:val="left"/>
    </w:pPr>
    <w:rPr>
      <w:rFonts w:ascii="宋体" w:hAnsi="宋体" w:cs="宋体"/>
      <w:kern w:val="0"/>
      <w:sz w:val="24"/>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Char"/>
    <w:basedOn w:val="8"/>
    <w:link w:val="3"/>
    <w:qFormat/>
    <w:uiPriority w:val="99"/>
    <w:rPr>
      <w:sz w:val="18"/>
      <w:szCs w:val="18"/>
    </w:rPr>
  </w:style>
  <w:style w:type="character" w:customStyle="1" w:styleId="11">
    <w:name w:val="页脚 Char"/>
    <w:basedOn w:val="8"/>
    <w:link w:val="2"/>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4305</Words>
  <Characters>4352</Characters>
  <Lines>38</Lines>
  <Paragraphs>10</Paragraphs>
  <TotalTime>2</TotalTime>
  <ScaleCrop>false</ScaleCrop>
  <LinksUpToDate>false</LinksUpToDate>
  <CharactersWithSpaces>4741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2019-11-17T12:03:00Z</dcterms:created>
  <dc:creator>bydd</dc:creator>
  <cp:lastModifiedBy>wxl</cp:lastModifiedBy>
  <dcterms:modified xsi:type="dcterms:W3CDTF">2024-12-13T01:48:13Z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9EBD1C1896E94D9C8EF0B8751AC0F59B_12</vt:lpwstr>
  </property>
</Properties>
</file>